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51" w:rsidRDefault="004469D8">
      <w:pPr>
        <w:spacing w:before="240" w:after="0" w:line="288" w:lineRule="atLeast"/>
        <w:ind w:right="-235"/>
        <w:jc w:val="center"/>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P</w:t>
      </w:r>
      <w:r w:rsidR="00377E51">
        <w:rPr>
          <w:rFonts w:ascii="Times New Roman" w:eastAsia="Times New Roman" w:hAnsi="Times New Roman" w:cs="Times New Roman"/>
          <w:b/>
          <w:bCs/>
          <w:color w:val="000000" w:themeColor="text1"/>
          <w:kern w:val="36"/>
          <w:sz w:val="28"/>
          <w:szCs w:val="28"/>
        </w:rPr>
        <w:t>h</w:t>
      </w:r>
      <w:r w:rsidR="00377E51" w:rsidRPr="00377E51">
        <w:rPr>
          <w:rFonts w:ascii="Times New Roman" w:eastAsia="Times New Roman" w:hAnsi="Times New Roman" w:cs="Times New Roman"/>
          <w:b/>
          <w:bCs/>
          <w:color w:val="000000" w:themeColor="text1"/>
          <w:kern w:val="36"/>
          <w:sz w:val="28"/>
          <w:szCs w:val="28"/>
        </w:rPr>
        <w:t>ụ</w:t>
      </w:r>
      <w:r w:rsidR="00377E51">
        <w:rPr>
          <w:rFonts w:ascii="Times New Roman" w:eastAsia="Times New Roman" w:hAnsi="Times New Roman" w:cs="Times New Roman"/>
          <w:b/>
          <w:bCs/>
          <w:color w:val="000000" w:themeColor="text1"/>
          <w:kern w:val="36"/>
          <w:sz w:val="28"/>
          <w:szCs w:val="28"/>
        </w:rPr>
        <w:t xml:space="preserve"> l</w:t>
      </w:r>
      <w:r w:rsidR="00377E51" w:rsidRPr="00377E51">
        <w:rPr>
          <w:rFonts w:ascii="Times New Roman" w:eastAsia="Times New Roman" w:hAnsi="Times New Roman" w:cs="Times New Roman"/>
          <w:b/>
          <w:bCs/>
          <w:color w:val="000000" w:themeColor="text1"/>
          <w:kern w:val="36"/>
          <w:sz w:val="28"/>
          <w:szCs w:val="28"/>
        </w:rPr>
        <w:t>ục</w:t>
      </w:r>
      <w:r w:rsidR="00377E51">
        <w:rPr>
          <w:rFonts w:ascii="Times New Roman" w:eastAsia="Times New Roman" w:hAnsi="Times New Roman" w:cs="Times New Roman"/>
          <w:b/>
          <w:bCs/>
          <w:color w:val="000000" w:themeColor="text1"/>
          <w:kern w:val="36"/>
          <w:sz w:val="28"/>
          <w:szCs w:val="28"/>
        </w:rPr>
        <w:t xml:space="preserve"> 07 </w:t>
      </w:r>
    </w:p>
    <w:p w:rsidR="00CD0B48" w:rsidRDefault="005F7376" w:rsidP="004469D8">
      <w:pPr>
        <w:spacing w:after="0" w:line="240" w:lineRule="atLeast"/>
        <w:ind w:right="-232"/>
        <w:jc w:val="center"/>
        <w:outlineLvl w:val="0"/>
        <w:rPr>
          <w:rFonts w:ascii="Times New Roman Bold" w:eastAsia="Times New Roman" w:hAnsi="Times New Roman Bold" w:cs="Times New Roman"/>
          <w:b/>
          <w:bCs/>
          <w:cap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HƯỚNG DẪN ĐĂNG KÝ HÓA ĐƠN ĐIỆN TỬ </w:t>
      </w:r>
      <w:r>
        <w:rPr>
          <w:rFonts w:ascii="Times New Roman Bold" w:eastAsia="Times New Roman" w:hAnsi="Times New Roman Bold" w:cs="Times New Roman"/>
          <w:b/>
          <w:bCs/>
          <w:caps/>
          <w:color w:val="000000" w:themeColor="text1"/>
          <w:kern w:val="36"/>
          <w:sz w:val="28"/>
          <w:szCs w:val="28"/>
        </w:rPr>
        <w:t>theo Nghị định 123/2020/NĐ-CP cho các doanh nghiệp, tổ chức kinh tế</w:t>
      </w:r>
    </w:p>
    <w:p w:rsidR="00A6226E" w:rsidRDefault="00A6226E" w:rsidP="00A6226E">
      <w:pPr>
        <w:spacing w:after="0" w:line="288" w:lineRule="atLeast"/>
        <w:ind w:right="-232"/>
        <w:jc w:val="center"/>
        <w:outlineLvl w:val="0"/>
        <w:rPr>
          <w:rFonts w:ascii="Times New Roman" w:eastAsia="Times New Roman" w:hAnsi="Times New Roman" w:cs="Times New Roman"/>
          <w:b/>
          <w:bCs/>
          <w:color w:val="000000" w:themeColor="text1"/>
          <w:kern w:val="36"/>
          <w:sz w:val="28"/>
          <w:szCs w:val="28"/>
        </w:rPr>
      </w:pPr>
      <w:r>
        <w:rPr>
          <w:rFonts w:ascii="Times New Roman Bold" w:eastAsia="Times New Roman" w:hAnsi="Times New Roman Bold" w:cs="Times New Roman"/>
          <w:b/>
          <w:bCs/>
          <w:caps/>
          <w:color w:val="000000" w:themeColor="text1"/>
          <w:kern w:val="36"/>
          <w:sz w:val="28"/>
          <w:szCs w:val="28"/>
        </w:rPr>
        <w:t>(</w:t>
      </w:r>
      <w:r>
        <w:rPr>
          <w:rFonts w:ascii="Times New Roman" w:eastAsia="Times New Roman" w:hAnsi="Times New Roman" w:cs="Times New Roman"/>
          <w:b/>
          <w:bCs/>
          <w:color w:val="000000" w:themeColor="text1"/>
          <w:kern w:val="36"/>
          <w:sz w:val="28"/>
          <w:szCs w:val="28"/>
        </w:rPr>
        <w:t>Các quy định về hóa đơn điện tử )</w:t>
      </w:r>
    </w:p>
    <w:p w:rsidR="00A6226E" w:rsidRDefault="00A6226E" w:rsidP="004469D8">
      <w:pPr>
        <w:spacing w:after="0" w:line="240" w:lineRule="atLeast"/>
        <w:ind w:right="-232"/>
        <w:jc w:val="center"/>
        <w:outlineLvl w:val="0"/>
        <w:rPr>
          <w:rFonts w:ascii="Times New Roman Bold" w:eastAsia="Times New Roman" w:hAnsi="Times New Roman Bold" w:cs="Times New Roman"/>
          <w:b/>
          <w:bCs/>
          <w:caps/>
          <w:color w:val="000000" w:themeColor="text1"/>
          <w:kern w:val="36"/>
          <w:sz w:val="28"/>
          <w:szCs w:val="28"/>
        </w:rPr>
      </w:pPr>
      <w:r>
        <w:rPr>
          <w:rFonts w:ascii="Times New Roman" w:hAnsi="Times New Roman"/>
          <w:i/>
          <w:noProof/>
          <w:szCs w:val="28"/>
        </w:rPr>
        <w:t>(Ban hành kèm C</w:t>
      </w:r>
      <w:r w:rsidRPr="00EF1090">
        <w:rPr>
          <w:rFonts w:ascii="Times New Roman" w:hAnsi="Times New Roman"/>
          <w:i/>
          <w:noProof/>
          <w:szCs w:val="28"/>
        </w:rPr>
        <w:t>ông v</w:t>
      </w:r>
      <w:r w:rsidRPr="00EF1090">
        <w:rPr>
          <w:rFonts w:ascii="Times New Roman" w:hAnsi="Times New Roman" w:hint="eastAsia"/>
          <w:i/>
          <w:noProof/>
          <w:szCs w:val="28"/>
        </w:rPr>
        <w:t>ă</w:t>
      </w:r>
      <w:r w:rsidRPr="00EF1090">
        <w:rPr>
          <w:rFonts w:ascii="Times New Roman" w:hAnsi="Times New Roman"/>
          <w:i/>
          <w:noProof/>
          <w:szCs w:val="28"/>
        </w:rPr>
        <w:t>n số …./VTT-SP ngày    tháng    n</w:t>
      </w:r>
      <w:r w:rsidRPr="00EF1090">
        <w:rPr>
          <w:rFonts w:ascii="Times New Roman" w:hAnsi="Times New Roman" w:hint="eastAsia"/>
          <w:i/>
          <w:noProof/>
          <w:szCs w:val="28"/>
        </w:rPr>
        <w:t>ă</w:t>
      </w:r>
      <w:r w:rsidRPr="00EF1090">
        <w:rPr>
          <w:rFonts w:ascii="Times New Roman" w:hAnsi="Times New Roman"/>
          <w:i/>
          <w:noProof/>
          <w:szCs w:val="28"/>
        </w:rPr>
        <w:t>m 2021)</w:t>
      </w:r>
    </w:p>
    <w:p w:rsidR="00CD0B48" w:rsidRPr="00852790" w:rsidRDefault="00495CDA" w:rsidP="00852790">
      <w:pPr>
        <w:pStyle w:val="ListParagraph"/>
        <w:numPr>
          <w:ilvl w:val="0"/>
          <w:numId w:val="3"/>
        </w:numPr>
        <w:spacing w:before="120" w:after="0" w:line="240" w:lineRule="auto"/>
        <w:ind w:left="426" w:hanging="426"/>
        <w:jc w:val="both"/>
        <w:rPr>
          <w:rFonts w:ascii="Times New Roman" w:hAnsi="Times New Roman" w:cs="Times New Roman"/>
          <w:b/>
          <w:bCs/>
          <w:color w:val="000000" w:themeColor="text1"/>
          <w:sz w:val="26"/>
          <w:szCs w:val="26"/>
          <w:shd w:val="clear" w:color="auto" w:fill="FFFFFF"/>
        </w:rPr>
      </w:pPr>
      <w:r>
        <w:rPr>
          <w:rFonts w:ascii="Times New Roman" w:hAnsi="Times New Roman" w:cs="Times New Roman"/>
          <w:b/>
          <w:bCs/>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1782647</wp:posOffset>
                </wp:positionH>
                <wp:positionV relativeFrom="paragraph">
                  <wp:posOffset>19888</wp:posOffset>
                </wp:positionV>
                <wp:extent cx="238475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2384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A6B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35pt,1.55pt" to="32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" strokecolor="black [3200]" strokeweight=".5pt">
                <v:stroke joinstyle="miter"/>
              </v:line>
            </w:pict>
          </mc:Fallback>
        </mc:AlternateContent>
      </w:r>
      <w:r w:rsidR="005F7376" w:rsidRPr="00852790">
        <w:rPr>
          <w:rFonts w:ascii="Times New Roman" w:hAnsi="Times New Roman" w:cs="Times New Roman"/>
          <w:b/>
          <w:bCs/>
          <w:color w:val="000000" w:themeColor="text1"/>
          <w:sz w:val="26"/>
          <w:szCs w:val="26"/>
          <w:shd w:val="clear" w:color="auto" w:fill="FFFFFF"/>
        </w:rPr>
        <w:t>Hóa đơn điện tử là gì?</w:t>
      </w:r>
    </w:p>
    <w:p w:rsidR="00CD0B48" w:rsidRDefault="005F7376" w:rsidP="00FA6E60">
      <w:pPr>
        <w:pStyle w:val="ListParagraph"/>
        <w:spacing w:after="0" w:line="240" w:lineRule="auto"/>
        <w:ind w:left="-142" w:hanging="709"/>
        <w:jc w:val="both"/>
        <w:rPr>
          <w:rFonts w:ascii="Times New Roman" w:hAnsi="Times New Roman" w:cs="Times New Roman"/>
          <w:color w:val="FF0000"/>
          <w:sz w:val="24"/>
          <w:szCs w:val="24"/>
          <w:shd w:val="clear" w:color="auto" w:fill="FFFFFF"/>
        </w:rPr>
      </w:pPr>
      <w:r>
        <w:rPr>
          <w:rFonts w:ascii="Times New Roman" w:hAnsi="Times New Roman" w:cs="Times New Roman"/>
          <w:noProof/>
          <w:color w:val="FF0000"/>
          <w:sz w:val="24"/>
          <w:szCs w:val="24"/>
        </w:rPr>
        <mc:AlternateContent>
          <mc:Choice Requires="wpc">
            <w:drawing>
              <wp:inline distT="0" distB="0" distL="0" distR="0">
                <wp:extent cx="6920865" cy="7176211"/>
                <wp:effectExtent l="0" t="0" r="0" b="571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 name="Rectangle 10"/>
                        <wps:cNvSpPr>
                          <a:spLocks noChangeArrowheads="1"/>
                        </wps:cNvSpPr>
                        <wps:spPr bwMode="auto">
                          <a:xfrm>
                            <a:off x="295744" y="0"/>
                            <a:ext cx="5480023" cy="774911"/>
                          </a:xfrm>
                          <a:prstGeom prst="rect">
                            <a:avLst/>
                          </a:prstGeom>
                          <a:solidFill>
                            <a:srgbClr val="FFFFFF"/>
                          </a:solidFill>
                          <a:ln w="9525">
                            <a:solidFill>
                              <a:srgbClr val="000000"/>
                            </a:solidFill>
                            <a:miter lim="800000"/>
                          </a:ln>
                        </wps:spPr>
                        <wps:txbx>
                          <w:txbxContent>
                            <w:p w:rsidR="00CD0B48" w:rsidRDefault="005F7376">
                              <w:pPr>
                                <w:spacing w:after="0" w:line="240" w:lineRule="auto"/>
                                <w:ind w:left="720" w:hanging="578"/>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Hóa đơn điện tử là hóa đơn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xml:space="preserve">+ Được thể hiện ở dạng dữ liệu điện tử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Được khởi tạo từ máy tính tiền có kết nối chuyển dữ liệu điện tử với cơ quan thuế.</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Do tổ chức, cá nhân bán hàng hóa, cung cấp dịch vụ lập</w:t>
                              </w:r>
                              <w:r>
                                <w:rPr>
                                  <w:rFonts w:ascii="Times New Roman" w:eastAsia="Calibri" w:hAnsi="Times New Roman" w:cs="Times New Roman"/>
                                  <w:b/>
                                  <w:bCs/>
                                  <w:i/>
                                  <w:iCs/>
                                  <w:color w:val="000000"/>
                                </w:rPr>
                                <w:t xml:space="preserve"> bằng phương tiện điện tử.</w:t>
                              </w:r>
                            </w:p>
                            <w:p w:rsidR="00CD0B48" w:rsidRDefault="005F7376">
                              <w:pPr>
                                <w:spacing w:after="0" w:line="240" w:lineRule="auto"/>
                                <w:ind w:left="720"/>
                                <w:jc w:val="both"/>
                                <w:rPr>
                                  <w:rFonts w:ascii="Times New Roman" w:eastAsia="Calibri" w:hAnsi="Times New Roman" w:cs="Times New Roman"/>
                                </w:rPr>
                              </w:pPr>
                              <w:r>
                                <w:rPr>
                                  <w:rFonts w:ascii="Times New Roman" w:eastAsia="Calibri" w:hAnsi="Times New Roman" w:cs="Times New Roman"/>
                                </w:rPr>
                                <w:t> </w:t>
                              </w:r>
                            </w:p>
                            <w:p w:rsidR="00CD0B48" w:rsidRDefault="005F7376">
                              <w:pPr>
                                <w:spacing w:after="0" w:line="240" w:lineRule="auto"/>
                                <w:rPr>
                                  <w:rFonts w:ascii="Times New Roman" w:eastAsia="Calibri" w:hAnsi="Times New Roman" w:cs="Times New Roman"/>
                                  <w:b/>
                                  <w:bCs/>
                                </w:rPr>
                              </w:pPr>
                              <w:r>
                                <w:rPr>
                                  <w:rFonts w:ascii="Times New Roman" w:eastAsia="Calibri" w:hAnsi="Times New Roman" w:cs="Times New Roman"/>
                                  <w:b/>
                                  <w:bCs/>
                                </w:rPr>
                                <w:t> </w:t>
                              </w:r>
                            </w:p>
                            <w:p w:rsidR="00CD0B48" w:rsidRDefault="005F7376">
                              <w:pPr>
                                <w:spacing w:after="0" w:line="240" w:lineRule="auto"/>
                                <w:rPr>
                                  <w:rFonts w:ascii="Times New Roman" w:eastAsia="Calibri" w:hAnsi="Times New Roman" w:cs="Times New Roman"/>
                                </w:rPr>
                              </w:pPr>
                              <w:r>
                                <w:rPr>
                                  <w:rFonts w:ascii="Times New Roman" w:eastAsia="Calibri" w:hAnsi="Times New Roman" w:cs="Times New Roman"/>
                                </w:rPr>
                                <w:t> </w:t>
                              </w:r>
                            </w:p>
                          </w:txbxContent>
                        </wps:txbx>
                        <wps:bodyPr rot="0" vert="horz" wrap="square" lIns="91440" tIns="45720" rIns="91440" bIns="45720" anchor="t" anchorCtr="0" upright="1">
                          <a:noAutofit/>
                        </wps:bodyPr>
                      </wps:wsp>
                      <wps:wsp>
                        <wps:cNvPr id="11" name="Text Box 5"/>
                        <wps:cNvSpPr txBox="1">
                          <a:spLocks noChangeArrowheads="1"/>
                        </wps:cNvSpPr>
                        <wps:spPr bwMode="auto">
                          <a:xfrm>
                            <a:off x="17363" y="1005828"/>
                            <a:ext cx="2228126" cy="1634960"/>
                          </a:xfrm>
                          <a:prstGeom prst="rect">
                            <a:avLst/>
                          </a:prstGeom>
                          <a:solidFill>
                            <a:srgbClr val="FFFFFF"/>
                          </a:solidFill>
                          <a:ln w="9525">
                            <a:solidFill>
                              <a:srgbClr val="000000"/>
                            </a:solidFill>
                            <a:miter lim="800000"/>
                          </a:ln>
                        </wps:spPr>
                        <wps:txbx>
                          <w:txbxContent>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Hóa đơn có mã của cơ quan thuế: </w:t>
                              </w:r>
                              <w:r>
                                <w:rPr>
                                  <w:rFonts w:ascii="Times New Roman" w:eastAsia="Calibri" w:hAnsi="Times New Roman" w:cs="Times New Roman"/>
                                  <w:sz w:val="20"/>
                                  <w:szCs w:val="20"/>
                                </w:rPr>
                                <w:t>là HĐĐT được cơ quan thuế cấp mã trước khi tổ chức, cá nhân bán hàng hóa, cung cấp dịch vụ gửi cho người mua.</w:t>
                              </w:r>
                            </w:p>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Mã của cơ quan thuế trên HĐĐT bao gồm số giao dịch là một dãy số duy nhất do hệ thống của CQT tạo ra và một chuỗi ký tự được cơ quan thuế mã hóa dựa trên thông tin của người bán lập trên hóa đơn. </w:t>
                              </w:r>
                            </w:p>
                          </w:txbxContent>
                        </wps:txbx>
                        <wps:bodyPr rot="0" vert="horz" wrap="square" lIns="91440" tIns="45720" rIns="91440" bIns="45720" anchor="t" anchorCtr="0" upright="1">
                          <a:noAutofit/>
                        </wps:bodyPr>
                      </wps:wsp>
                      <wps:wsp>
                        <wps:cNvPr id="12" name="Text Box 5"/>
                        <wps:cNvSpPr txBox="1">
                          <a:spLocks noChangeArrowheads="1"/>
                        </wps:cNvSpPr>
                        <wps:spPr bwMode="auto">
                          <a:xfrm>
                            <a:off x="2501900" y="1001891"/>
                            <a:ext cx="2139950" cy="1668158"/>
                          </a:xfrm>
                          <a:prstGeom prst="rect">
                            <a:avLst/>
                          </a:prstGeom>
                          <a:solidFill>
                            <a:srgbClr val="FFFFFF"/>
                          </a:solidFill>
                          <a:ln w="9525">
                            <a:solidFill>
                              <a:srgbClr val="000000"/>
                            </a:solidFill>
                            <a:miter lim="800000"/>
                          </a:ln>
                        </wps:spPr>
                        <wps:txbx>
                          <w:txbxContent>
                            <w:p w:rsidR="00CD0B48" w:rsidRDefault="005F7376">
                              <w:pPr>
                                <w:rPr>
                                  <w:rFonts w:ascii="Times New Roman" w:eastAsia="Calibri" w:hAnsi="Times New Roman" w:cs="Times New Roman"/>
                                  <w:sz w:val="24"/>
                                  <w:szCs w:val="24"/>
                                </w:rPr>
                              </w:pPr>
                              <w:r>
                                <w:rPr>
                                  <w:rFonts w:ascii="Times New Roman" w:eastAsia="Calibri" w:hAnsi="Times New Roman" w:cs="Times New Roman"/>
                                  <w:b/>
                                  <w:bCs/>
                                  <w:i/>
                                  <w:iCs/>
                                </w:rPr>
                                <w:t>Hóa đơn điện tử không có mã</w:t>
                              </w:r>
                              <w:r>
                                <w:rPr>
                                  <w:rFonts w:ascii="Times New Roman" w:eastAsia="Calibri" w:hAnsi="Times New Roman" w:cs="Times New Roman"/>
                                </w:rPr>
                                <w:t xml:space="preserve"> của cơ quan thuế: là hóa đơn điện tử do tổ chức bán hàng hóa, cung cấp dịch vụ gửi cho người mua không có mã của cơ quan thuế.</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17362" y="3050495"/>
                            <a:ext cx="2163863" cy="3825514"/>
                          </a:xfrm>
                          <a:prstGeom prst="rect">
                            <a:avLst/>
                          </a:prstGeom>
                          <a:solidFill>
                            <a:srgbClr val="FFFFFF"/>
                          </a:solidFill>
                          <a:ln w="9525">
                            <a:solidFill>
                              <a:srgbClr val="000000"/>
                            </a:solidFill>
                            <a:miter lim="800000"/>
                          </a:ln>
                        </wps:spPr>
                        <wps:txbx>
                          <w:txbxContent>
                            <w:p w:rsidR="00CD0B48" w:rsidRDefault="005F7376">
                              <w:pPr>
                                <w:spacing w:after="0" w:line="240" w:lineRule="auto"/>
                                <w:jc w:val="both"/>
                                <w:rPr>
                                  <w:rFonts w:ascii="Times New Roman" w:eastAsia="Calibri" w:hAnsi="Times New Roman" w:cs="Times New Roman"/>
                                  <w:b/>
                                  <w:bCs/>
                                  <w:i/>
                                  <w:iCs/>
                                </w:rPr>
                              </w:pPr>
                              <w:r>
                                <w:rPr>
                                  <w:rFonts w:ascii="Times New Roman" w:eastAsia="Calibri" w:hAnsi="Times New Roman" w:cs="Times New Roman"/>
                                  <w:b/>
                                  <w:bCs/>
                                  <w:i/>
                                  <w:iCs/>
                                </w:rPr>
                                <w:t>Đối tượng áp dụng</w:t>
                              </w:r>
                            </w:p>
                            <w:p w:rsidR="00CD0B48" w:rsidRDefault="005F7376">
                              <w:pPr>
                                <w:spacing w:after="0" w:line="240" w:lineRule="auto"/>
                                <w:jc w:val="both"/>
                                <w:rPr>
                                  <w:rFonts w:ascii="Times New Roman" w:eastAsia="Calibri" w:hAnsi="Times New Roman" w:cs="Times New Roman"/>
                                  <w:lang w:val="vi-VN"/>
                                </w:rPr>
                              </w:pPr>
                              <w:r>
                                <w:rPr>
                                  <w:rFonts w:ascii="Times New Roman" w:eastAsia="Calibri" w:hAnsi="Times New Roman" w:cs="Times New Roman"/>
                                </w:rPr>
                                <w:t xml:space="preserve">- </w:t>
                              </w:r>
                              <w:r>
                                <w:rPr>
                                  <w:rFonts w:ascii="Times New Roman" w:eastAsia="Calibri" w:hAnsi="Times New Roman" w:cs="Times New Roman"/>
                                  <w:lang w:val="vi-VN"/>
                                </w:rPr>
                                <w:t xml:space="preserve">Doanh nghiệp, tổ chức kinh tế sử dụng </w:t>
                              </w:r>
                              <w:r>
                                <w:rPr>
                                  <w:rFonts w:ascii="Times New Roman" w:eastAsia="Calibri" w:hAnsi="Times New Roman" w:cs="Times New Roman"/>
                                </w:rPr>
                                <w:t>HĐĐT</w:t>
                              </w:r>
                              <w:r>
                                <w:rPr>
                                  <w:rFonts w:ascii="Times New Roman" w:eastAsia="Calibri" w:hAnsi="Times New Roman" w:cs="Times New Roman"/>
                                  <w:lang w:val="vi-VN"/>
                                </w:rPr>
                                <w:t xml:space="preserve"> có mã của </w:t>
                              </w:r>
                              <w:r>
                                <w:rPr>
                                  <w:rFonts w:ascii="Times New Roman" w:eastAsia="Calibri" w:hAnsi="Times New Roman" w:cs="Times New Roman"/>
                                </w:rPr>
                                <w:t>CQT</w:t>
                              </w:r>
                              <w:r>
                                <w:rPr>
                                  <w:rFonts w:ascii="Times New Roman" w:eastAsia="Calibri" w:hAnsi="Times New Roman" w:cs="Times New Roman"/>
                                  <w:lang w:val="vi-VN"/>
                                </w:rPr>
                                <w:t xml:space="preserve"> khi bán hàng hóa, cung cấp dịch vụ không phân biệt giá trị từng lần bán hàng hóa, cung cấp dịch vụ</w:t>
                              </w:r>
                              <w:r>
                                <w:rPr>
                                  <w:rFonts w:ascii="Times New Roman" w:eastAsia="Calibri" w:hAnsi="Times New Roman" w:cs="Times New Roman"/>
                                </w:rPr>
                                <w:t>, trừ các trường hợp sử dụng hóa đơn không có mã nêu trên.</w:t>
                              </w:r>
                            </w:p>
                            <w:p w:rsidR="00CD0B48" w:rsidRDefault="005F7376">
                              <w:pPr>
                                <w:spacing w:after="0" w:line="240" w:lineRule="auto"/>
                                <w:jc w:val="both"/>
                                <w:rPr>
                                  <w:rFonts w:ascii="Times New Roman" w:eastAsia="Calibri" w:hAnsi="Times New Roman" w:cs="Times New Roman"/>
                                  <w:i/>
                                  <w:iCs/>
                                  <w:lang w:val="vi-VN"/>
                                </w:rPr>
                              </w:pPr>
                              <w:r>
                                <w:rPr>
                                  <w:rFonts w:ascii="Times New Roman" w:eastAsia="Calibri" w:hAnsi="Times New Roman" w:cs="Times New Roman"/>
                                  <w:i/>
                                  <w:iCs/>
                                  <w:lang w:val="vi-VN"/>
                                </w:rPr>
                                <w:t>(Khoản 1 Điều 91 Luật Quản lý thuế)</w:t>
                              </w:r>
                            </w:p>
                            <w:p w:rsidR="00CD0B48" w:rsidRDefault="005F7376">
                              <w:pPr>
                                <w:spacing w:after="0" w:line="240" w:lineRule="auto"/>
                                <w:jc w:val="both"/>
                                <w:rPr>
                                  <w:rFonts w:ascii="Times New Roman" w:eastAsia="Calibri" w:hAnsi="Times New Roman" w:cs="Times New Roman"/>
                                  <w:lang w:val="vi-VN"/>
                                </w:rPr>
                              </w:pPr>
                              <w:r>
                                <w:rPr>
                                  <w:rFonts w:ascii="Times New Roman" w:hAnsi="Times New Roman"/>
                                </w:rPr>
                                <w:t xml:space="preserve">- </w:t>
                              </w:r>
                              <w:r>
                                <w:rPr>
                                  <w:rFonts w:ascii="Times New Roman" w:hAnsi="Times New Roman"/>
                                  <w:lang w:val="vi-VN"/>
                                </w:rPr>
                                <w:t xml:space="preserve">Người nộp thuế thuộc đối tượng sử dụng </w:t>
                              </w:r>
                              <w:r>
                                <w:rPr>
                                  <w:rFonts w:ascii="Times New Roman" w:hAnsi="Times New Roman"/>
                                </w:rPr>
                                <w:t>HĐĐT</w:t>
                              </w:r>
                              <w:r>
                                <w:rPr>
                                  <w:rFonts w:ascii="Times New Roman" w:hAnsi="Times New Roman"/>
                                  <w:lang w:val="vi-VN"/>
                                </w:rPr>
                                <w:t xml:space="preserve"> không có mã theo quy định tại khoản 2 Điều 91 Luật Quản lý thuế số 38/2019/QH14 nếu thuộc trường hợp được xác định rủi ro cao về thuế theo quy định tại Thông tư số 31/2021/TT-BTC và được cơ quan thuế thông báo về việc chuyển đổi áp dụng </w:t>
                              </w:r>
                              <w:r>
                                <w:rPr>
                                  <w:rFonts w:ascii="Times New Roman" w:hAnsi="Times New Roman"/>
                                </w:rPr>
                                <w:t>HĐĐT</w:t>
                              </w:r>
                              <w:r>
                                <w:rPr>
                                  <w:rFonts w:ascii="Times New Roman" w:hAnsi="Times New Roman"/>
                                  <w:lang w:val="vi-VN"/>
                                </w:rPr>
                                <w:t xml:space="preserve"> có mã của </w:t>
                              </w:r>
                              <w:r>
                                <w:rPr>
                                  <w:rFonts w:ascii="Times New Roman" w:hAnsi="Times New Roman"/>
                                </w:rPr>
                                <w:t>CQT</w:t>
                              </w:r>
                              <w:r>
                                <w:rPr>
                                  <w:rFonts w:ascii="Times New Roman" w:hAnsi="Times New Roman"/>
                                  <w:lang w:val="vi-VN"/>
                                </w:rPr>
                                <w:t xml:space="preserve"> thì phải chuyển đổi sang áp dụng </w:t>
                              </w:r>
                              <w:r>
                                <w:rPr>
                                  <w:rFonts w:ascii="Times New Roman" w:eastAsia="Calibri" w:hAnsi="Times New Roman" w:cs="Times New Roman"/>
                                </w:rPr>
                                <w:t>HĐĐT</w:t>
                              </w:r>
                              <w:r>
                                <w:rPr>
                                  <w:rFonts w:ascii="Times New Roman" w:eastAsia="Calibri" w:hAnsi="Times New Roman" w:cs="Times New Roman"/>
                                  <w:lang w:val="vi-VN"/>
                                </w:rPr>
                                <w:t xml:space="preserve"> </w:t>
                              </w:r>
                              <w:r>
                                <w:rPr>
                                  <w:rFonts w:ascii="Times New Roman" w:hAnsi="Times New Roman"/>
                                  <w:lang w:val="vi-VN"/>
                                </w:rPr>
                                <w:t>có mã của cơ quan thuế.</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2357539" y="3072443"/>
                            <a:ext cx="2395960" cy="3821347"/>
                          </a:xfrm>
                          <a:prstGeom prst="rect">
                            <a:avLst/>
                          </a:prstGeom>
                          <a:solidFill>
                            <a:srgbClr val="FFFFFF"/>
                          </a:solidFill>
                          <a:ln w="9525">
                            <a:solidFill>
                              <a:srgbClr val="000000"/>
                            </a:solidFill>
                            <a:miter lim="800000"/>
                          </a:ln>
                        </wps:spPr>
                        <wps:txbx>
                          <w:txbxContent>
                            <w:p w:rsidR="00CD0B48" w:rsidRDefault="005F7376">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Đối tượng áp dụng</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lang w:val="vi-VN"/>
                                </w:rPr>
                              </w:pPr>
                              <w:r>
                                <w:rPr>
                                  <w:rFonts w:ascii="Times New Roman" w:eastAsia="Calibri" w:hAnsi="Times New Roman" w:cs="Times New Roman"/>
                                  <w:sz w:val="20"/>
                                  <w:szCs w:val="20"/>
                                  <w:lang w:val="vi-VN"/>
                                </w:rPr>
                                <w:t>Doanh nghiệp kinh doanh ở lĩnh vực</w:t>
                              </w:r>
                              <w:r>
                                <w:rPr>
                                  <w:rFonts w:ascii="Times New Roman" w:eastAsia="Calibri" w:hAnsi="Times New Roman" w:cs="Times New Roman"/>
                                  <w:sz w:val="20"/>
                                  <w:szCs w:val="20"/>
                                </w:rPr>
                                <w:t>:</w:t>
                              </w:r>
                              <w:r>
                                <w:rPr>
                                  <w:rFonts w:ascii="Times New Roman" w:eastAsia="Calibri" w:hAnsi="Times New Roman" w:cs="Times New Roman"/>
                                  <w:i/>
                                  <w:iCs/>
                                  <w:sz w:val="20"/>
                                  <w:szCs w:val="20"/>
                                </w:rPr>
                                <w:t xml:space="preserve">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iện lực, xăng dầu, bưu chính viễn thông, nước sạch,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T</w:t>
                              </w:r>
                              <w:r>
                                <w:rPr>
                                  <w:rFonts w:ascii="Times New Roman" w:eastAsia="Calibri" w:hAnsi="Times New Roman" w:cs="Times New Roman"/>
                                  <w:sz w:val="20"/>
                                  <w:szCs w:val="20"/>
                                  <w:lang w:val="vi-VN"/>
                                </w:rPr>
                                <w:t xml:space="preserve">ài chính tín dụng, bảo hiểm, y tế,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K</w:t>
                              </w:r>
                              <w:r>
                                <w:rPr>
                                  <w:rFonts w:ascii="Times New Roman" w:eastAsia="Calibri" w:hAnsi="Times New Roman" w:cs="Times New Roman"/>
                                  <w:sz w:val="20"/>
                                  <w:szCs w:val="20"/>
                                  <w:lang w:val="vi-VN"/>
                                </w:rPr>
                                <w:t xml:space="preserve">inh doanh thương mại điện tử, kinh doanh siêu thị, thương mại,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V</w:t>
                              </w:r>
                              <w:r>
                                <w:rPr>
                                  <w:rFonts w:ascii="Times New Roman" w:eastAsia="Calibri" w:hAnsi="Times New Roman" w:cs="Times New Roman"/>
                                  <w:sz w:val="20"/>
                                  <w:szCs w:val="20"/>
                                  <w:lang w:val="vi-VN"/>
                                </w:rPr>
                                <w:t>ận tải hàng không, đường bộ, đường sắt, đường biển, đường thủy</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lang w:val="vi-VN"/>
                                </w:rPr>
                                <w:t>oanh nghiệp, tổ chức kinh tế</w:t>
                              </w:r>
                              <w:r>
                                <w:rPr>
                                  <w:rFonts w:ascii="Times New Roman" w:eastAsia="Calibri" w:hAnsi="Times New Roman" w:cs="Times New Roman"/>
                                  <w:sz w:val="20"/>
                                  <w:szCs w:val="20"/>
                                </w:rPr>
                                <w:t>:</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ã hoặc sẽ thực hiện giao dịch với </w:t>
                              </w:r>
                              <w:r>
                                <w:rPr>
                                  <w:rFonts w:ascii="Times New Roman" w:eastAsia="Calibri" w:hAnsi="Times New Roman" w:cs="Times New Roman"/>
                                  <w:sz w:val="20"/>
                                  <w:szCs w:val="20"/>
                                </w:rPr>
                                <w:t xml:space="preserve">CQT </w:t>
                              </w:r>
                              <w:r>
                                <w:rPr>
                                  <w:rFonts w:ascii="Times New Roman" w:eastAsia="Calibri" w:hAnsi="Times New Roman" w:cs="Times New Roman"/>
                                  <w:sz w:val="20"/>
                                  <w:szCs w:val="20"/>
                                  <w:lang w:val="vi-VN"/>
                                </w:rPr>
                                <w:t xml:space="preserve">bằng phương tiện điện tử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w:t>
                              </w:r>
                              <w:r>
                                <w:rPr>
                                  <w:rFonts w:ascii="Times New Roman" w:eastAsia="Calibri" w:hAnsi="Times New Roman" w:cs="Times New Roman"/>
                                  <w:sz w:val="20"/>
                                  <w:szCs w:val="20"/>
                                  <w:lang w:val="vi-VN"/>
                                </w:rPr>
                                <w:t xml:space="preserve">ây dựng hạ tầng </w:t>
                              </w:r>
                              <w:r>
                                <w:rPr>
                                  <w:rFonts w:ascii="Times New Roman" w:eastAsia="Calibri" w:hAnsi="Times New Roman" w:cs="Times New Roman"/>
                                  <w:sz w:val="20"/>
                                  <w:szCs w:val="20"/>
                                </w:rPr>
                                <w:t>CNTT</w:t>
                              </w:r>
                              <w:r>
                                <w:rPr>
                                  <w:rFonts w:ascii="Times New Roman" w:eastAsia="Calibri" w:hAnsi="Times New Roman" w:cs="Times New Roman"/>
                                  <w:sz w:val="20"/>
                                  <w:szCs w:val="20"/>
                                  <w:lang w:val="vi-VN"/>
                                </w:rPr>
                                <w:t xml:space="preserve">, có hệ thống phần mềm kế toán, phần mềm lập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đáp ứng lập, tra cứu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lưu trữ dữ liệu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theo quy định </w:t>
                              </w:r>
                            </w:p>
                            <w:p w:rsidR="00CD0B48" w:rsidRDefault="005F7376">
                              <w:pPr>
                                <w:spacing w:after="0" w:line="240" w:lineRule="auto"/>
                                <w:contextualSpacing/>
                                <w:jc w:val="both"/>
                                <w:rPr>
                                  <w:rFonts w:ascii="Times New Roman" w:eastAsia="Calibri" w:hAnsi="Times New Roman" w:cs="Times New Roman"/>
                                  <w:sz w:val="20"/>
                                  <w:szCs w:val="20"/>
                                  <w:lang w:val="vi-VN"/>
                                </w:rPr>
                              </w:pPr>
                              <w:r>
                                <w:rPr>
                                  <w:rFonts w:ascii="Times New Roman" w:eastAsia="Calibri" w:hAnsi="Times New Roman" w:cs="Times New Roman"/>
                                  <w:sz w:val="20"/>
                                  <w:szCs w:val="20"/>
                                </w:rPr>
                                <w:t>+ B</w:t>
                              </w:r>
                              <w:r>
                                <w:rPr>
                                  <w:rFonts w:ascii="Times New Roman" w:eastAsia="Calibri" w:hAnsi="Times New Roman" w:cs="Times New Roman"/>
                                  <w:sz w:val="20"/>
                                  <w:szCs w:val="20"/>
                                  <w:lang w:val="vi-VN"/>
                                </w:rPr>
                                <w:t xml:space="preserve">ảo đảm việc truyền dữ liệu hóa đơn điện tử đến người mua và đến cơ quan thuế được sử dụng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không có mã của cơ quan thuế khi bán hàng hóa, cung cấp dịch vụ, không phân biệt giá trị từng lần bán hàng hóa, cung cấp dịch vụ, trừ trường hợp rủi ro về thuế cao theo quy định của Bộ trưởng Bộ Tài chính. </w:t>
                              </w:r>
                              <w:r>
                                <w:rPr>
                                  <w:rFonts w:ascii="Times New Roman" w:eastAsia="Calibri" w:hAnsi="Times New Roman" w:cs="Times New Roman"/>
                                  <w:i/>
                                  <w:iCs/>
                                  <w:sz w:val="20"/>
                                  <w:szCs w:val="20"/>
                                </w:rPr>
                                <w:t>(Khoản 2 Điều 91 Luật Quản lý thuế số 38)</w:t>
                              </w:r>
                            </w:p>
                            <w:p w:rsidR="00CD0B48" w:rsidRDefault="00CD0B48">
                              <w:pPr>
                                <w:spacing w:after="0" w:line="240" w:lineRule="auto"/>
                                <w:contextualSpacing/>
                                <w:rPr>
                                  <w:rFonts w:ascii="Times New Roman" w:eastAsia="Calibri" w:hAnsi="Times New Roman" w:cs="Times New Roman"/>
                                  <w:b/>
                                  <w:bCs/>
                                  <w:i/>
                                  <w:iCs/>
                                  <w:sz w:val="20"/>
                                  <w:szCs w:val="20"/>
                                </w:rPr>
                              </w:pPr>
                            </w:p>
                          </w:txbxContent>
                        </wps:txbx>
                        <wps:bodyPr rot="0" vert="horz" wrap="square" lIns="91440" tIns="45720" rIns="91440" bIns="45720" anchor="t" anchorCtr="0" upright="1">
                          <a:noAutofit/>
                        </wps:bodyPr>
                      </wps:wsp>
                      <wps:wsp>
                        <wps:cNvPr id="15" name="Straight Arrow Connector 15"/>
                        <wps:cNvCnPr/>
                        <wps:spPr>
                          <a:xfrm flipH="1">
                            <a:off x="1784909" y="768354"/>
                            <a:ext cx="1126125" cy="3728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916821" y="791753"/>
                            <a:ext cx="426226" cy="2835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990600" y="2601365"/>
                            <a:ext cx="11013" cy="436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3533775" y="2680610"/>
                            <a:ext cx="13865" cy="459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5"/>
                        <wps:cNvSpPr txBox="1">
                          <a:spLocks noChangeArrowheads="1"/>
                        </wps:cNvSpPr>
                        <wps:spPr bwMode="auto">
                          <a:xfrm>
                            <a:off x="4838217" y="1028276"/>
                            <a:ext cx="1953108" cy="1634458"/>
                          </a:xfrm>
                          <a:prstGeom prst="rect">
                            <a:avLst/>
                          </a:prstGeom>
                          <a:solidFill>
                            <a:srgbClr val="FFFFFF"/>
                          </a:solidFill>
                          <a:ln w="9525">
                            <a:solidFill>
                              <a:srgbClr val="000000"/>
                            </a:solidFill>
                            <a:miter lim="800000"/>
                          </a:ln>
                        </wps:spPr>
                        <wps:txbx>
                          <w:txbxContent>
                            <w:p w:rsidR="00CD0B48" w:rsidRDefault="005F7376">
                              <w:pPr>
                                <w:pStyle w:val="ListParagraph"/>
                                <w:widowControl w:val="0"/>
                                <w:spacing w:before="120" w:after="120"/>
                                <w:ind w:left="0"/>
                                <w:jc w:val="both"/>
                                <w:rPr>
                                  <w:rFonts w:ascii="Times New Roman" w:hAnsi="Times New Roman" w:cs="Times New Roman"/>
                                  <w:b/>
                                  <w:i/>
                                </w:rPr>
                              </w:pPr>
                              <w:r>
                                <w:rPr>
                                  <w:rFonts w:ascii="Times New Roman" w:hAnsi="Times New Roman" w:cs="Times New Roman"/>
                                  <w:b/>
                                  <w:i/>
                                </w:rPr>
                                <w:t>H</w:t>
                              </w:r>
                              <w:r>
                                <w:rPr>
                                  <w:rFonts w:ascii="Times New Roman" w:hAnsi="Times New Roman" w:cs="Times New Roman"/>
                                  <w:b/>
                                  <w:i/>
                                  <w:lang w:val="vi-VN"/>
                                </w:rPr>
                                <w:t>óa đơn điện tử có mã của cơ quan thuế khởi tạo từ máy tính tiền có kết nối chuyển dữ liệu với cơ quan thuế</w:t>
                              </w:r>
                            </w:p>
                            <w:p w:rsidR="00CD0B48" w:rsidRDefault="00CD0B48">
                              <w:pPr>
                                <w:rPr>
                                  <w:rFonts w:eastAsia="Calibri"/>
                                  <w:b/>
                                  <w:bCs/>
                                  <w:i/>
                                  <w:iCs/>
                                </w:rPr>
                              </w:pPr>
                            </w:p>
                          </w:txbxContent>
                        </wps:txbx>
                        <wps:bodyPr rot="0" vert="horz" wrap="square" lIns="91440" tIns="45720" rIns="91440" bIns="45720" anchor="t" anchorCtr="0" upright="1">
                          <a:noAutofit/>
                        </wps:bodyPr>
                      </wps:wsp>
                      <wps:wsp>
                        <wps:cNvPr id="25" name="Straight Arrow Connector 25"/>
                        <wps:cNvCnPr/>
                        <wps:spPr>
                          <a:xfrm>
                            <a:off x="2893671" y="774846"/>
                            <a:ext cx="2029459" cy="2712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5"/>
                        <wps:cNvSpPr txBox="1">
                          <a:spLocks noChangeArrowheads="1"/>
                        </wps:cNvSpPr>
                        <wps:spPr bwMode="auto">
                          <a:xfrm>
                            <a:off x="4875714" y="3096184"/>
                            <a:ext cx="2010861" cy="3373755"/>
                          </a:xfrm>
                          <a:prstGeom prst="rect">
                            <a:avLst/>
                          </a:prstGeom>
                          <a:solidFill>
                            <a:srgbClr val="FFFFFF"/>
                          </a:solidFill>
                          <a:ln w="9525">
                            <a:solidFill>
                              <a:srgbClr val="000000"/>
                            </a:solidFill>
                            <a:miter lim="800000"/>
                          </a:ln>
                        </wps:spPr>
                        <wps:txbx>
                          <w:txbxContent>
                            <w:p w:rsidR="00CD0B48" w:rsidRDefault="005F7376">
                              <w:pPr>
                                <w:spacing w:before="120" w:after="120"/>
                                <w:ind w:left="142" w:firstLine="142"/>
                                <w:jc w:val="both"/>
                                <w:rPr>
                                  <w:rFonts w:ascii="Times New Roman" w:eastAsia="Calibri" w:hAnsi="Times New Roman" w:cs="Times New Roman"/>
                                  <w:b/>
                                  <w:bCs/>
                                  <w:i/>
                                  <w:iCs/>
                                  <w:lang w:val="vi-VN"/>
                                </w:rPr>
                              </w:pPr>
                              <w:r>
                                <w:rPr>
                                  <w:rFonts w:ascii="Times New Roman" w:eastAsia="Calibri" w:hAnsi="Times New Roman" w:cs="Times New Roman"/>
                                  <w:b/>
                                  <w:bCs/>
                                  <w:i/>
                                  <w:iCs/>
                                  <w:lang w:val="vi-VN"/>
                                </w:rPr>
                                <w:t xml:space="preserve">Đối tượng áp dụng </w:t>
                              </w:r>
                            </w:p>
                            <w:p w:rsidR="00CD0B48" w:rsidRDefault="005F7376">
                              <w:pPr>
                                <w:spacing w:before="120" w:after="120"/>
                                <w:jc w:val="both"/>
                                <w:rPr>
                                  <w:rFonts w:ascii="Times New Roman" w:eastAsia="Calibri" w:hAnsi="Times New Roman" w:cs="Times New Roman"/>
                                  <w:b/>
                                  <w:bCs/>
                                  <w:i/>
                                  <w:iCs/>
                                  <w:lang w:val="vi-VN"/>
                                </w:rPr>
                              </w:pPr>
                              <w:r>
                                <w:rPr>
                                  <w:rFonts w:ascii="Times New Roman" w:eastAsia="Calibri" w:hAnsi="Times New Roman" w:cs="Times New Roman"/>
                                  <w:spacing w:val="-2"/>
                                  <w:lang w:val="vi-VN"/>
                                </w:rPr>
                                <w:t xml:space="preserve">Doanh nghiệp, hộ, cá nhân kinh doanh nộp thuế theo phương pháp kê khai có hoạt động cung cấp </w:t>
                              </w:r>
                              <w:r>
                                <w:rPr>
                                  <w:rFonts w:ascii="Times New Roman" w:eastAsia="Calibri" w:hAnsi="Times New Roman" w:cs="Times New Roman"/>
                                  <w:spacing w:val="-2"/>
                                </w:rPr>
                                <w:t>HH</w:t>
                              </w:r>
                              <w:r>
                                <w:rPr>
                                  <w:rFonts w:ascii="Times New Roman" w:eastAsia="Calibri" w:hAnsi="Times New Roman" w:cs="Times New Roman"/>
                                  <w:spacing w:val="-2"/>
                                  <w:lang w:val="vi-VN"/>
                                </w:rPr>
                                <w:t xml:space="preserve">, </w:t>
                              </w:r>
                              <w:r>
                                <w:rPr>
                                  <w:rFonts w:ascii="Times New Roman" w:eastAsia="Calibri" w:hAnsi="Times New Roman" w:cs="Times New Roman"/>
                                  <w:spacing w:val="-2"/>
                                </w:rPr>
                                <w:t>DV</w:t>
                              </w:r>
                              <w:r>
                                <w:rPr>
                                  <w:rFonts w:ascii="Times New Roman" w:eastAsia="Calibri" w:hAnsi="Times New Roman" w:cs="Times New Roman"/>
                                  <w:spacing w:val="-2"/>
                                  <w:lang w:val="vi-VN"/>
                                </w:rPr>
                                <w:t xml:space="preserve"> trực tiếp đến người tiêu dùng theo mô hình kinh doanh (trung tâm thương mại; siêu thị; bán lẻ hàng tiêu dùng; ăn uống; nhà hàng; khách sạn; bán lẻ thuốc tân dược; dịch vụ vui chơi, giải trí và các dịch vụ khác) được lựa chọn sử dụng </w:t>
                              </w:r>
                              <w:r>
                                <w:rPr>
                                  <w:rFonts w:ascii="Times New Roman" w:eastAsia="Calibri" w:hAnsi="Times New Roman" w:cs="Times New Roman"/>
                                  <w:spacing w:val="-2"/>
                                </w:rPr>
                                <w:t>HĐĐT</w:t>
                              </w:r>
                              <w:r>
                                <w:rPr>
                                  <w:rFonts w:ascii="Times New Roman" w:eastAsia="Calibri" w:hAnsi="Times New Roman" w:cs="Times New Roman"/>
                                  <w:spacing w:val="-2"/>
                                  <w:lang w:val="vi-VN"/>
                                </w:rPr>
                                <w:t xml:space="preserve"> được khởi tạo từ máy tính tiền có kết nối chuyển dữ liệu điện tử với </w:t>
                              </w:r>
                              <w:r>
                                <w:rPr>
                                  <w:rFonts w:ascii="Times New Roman" w:eastAsia="Calibri" w:hAnsi="Times New Roman" w:cs="Times New Roman"/>
                                  <w:spacing w:val="-2"/>
                                </w:rPr>
                                <w:t>CQT</w:t>
                              </w:r>
                              <w:r>
                                <w:rPr>
                                  <w:rFonts w:ascii="Times New Roman" w:eastAsia="Calibri" w:hAnsi="Times New Roman" w:cs="Times New Roman"/>
                                  <w:spacing w:val="-2"/>
                                  <w:lang w:val="vi-VN"/>
                                </w:rPr>
                                <w:t xml:space="preserve"> hoặc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 xml:space="preserve">có mã,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không có mã.</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t> </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br/>
                                <w:t> </w:t>
                              </w:r>
                            </w:p>
                            <w:p w:rsidR="00CD0B48" w:rsidRDefault="005F7376">
                              <w:pPr>
                                <w:ind w:left="142" w:firstLine="142"/>
                                <w:jc w:val="both"/>
                                <w:rPr>
                                  <w:rFonts w:ascii="Times New Roman" w:eastAsia="Calibri" w:hAnsi="Times New Roman" w:cs="Times New Roman"/>
                                  <w:i/>
                                  <w:iCs/>
                                  <w:lang w:val="vi-VN"/>
                                </w:rPr>
                              </w:pPr>
                              <w:r>
                                <w:rPr>
                                  <w:rFonts w:ascii="Times New Roman" w:eastAsia="Calibri" w:hAnsi="Times New Roman" w:cs="Times New Roman"/>
                                  <w:i/>
                                  <w:iCs/>
                                  <w:lang w:val="vi-VN"/>
                                </w:rPr>
                                <w:t> </w:t>
                              </w:r>
                            </w:p>
                          </w:txbxContent>
                        </wps:txbx>
                        <wps:bodyPr rot="0" vert="horz" wrap="square" lIns="91440" tIns="45720" rIns="91440" bIns="45720" anchor="t" anchorCtr="0" upright="1">
                          <a:noAutofit/>
                        </wps:bodyPr>
                      </wps:wsp>
                      <wps:wsp>
                        <wps:cNvPr id="27" name="Straight Arrow Connector 27"/>
                        <wps:cNvCnPr/>
                        <wps:spPr>
                          <a:xfrm>
                            <a:off x="5778823" y="2687497"/>
                            <a:ext cx="11574" cy="3730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9" o:spid="_x0000_s1026" editas="canvas" style="width:544.95pt;height:565.05pt;mso-position-horizontal-relative:char;mso-position-vertical-relative:line" coordsize="69208,7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208;height:71761;visibility:visible;mso-wrap-style:square" filled="t">
                  <v:fill o:detectmouseclick="t"/>
                  <v:path o:connecttype="none"/>
                </v:shape>
                <v:rect id="Rectangle 10" o:spid="_x0000_s1028" style="position:absolute;left:2957;width:54800;height:7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D0B48" w:rsidRDefault="005F7376">
                        <w:pPr>
                          <w:spacing w:after="0" w:line="240" w:lineRule="auto"/>
                          <w:ind w:left="720" w:hanging="578"/>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Hóa đơn điện tử là hóa đơn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xml:space="preserve">+ Được thể hiện ở dạng dữ liệu điện tử </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 Được khởi tạo từ máy tính tiền có kết nối chuyển dữ liệu điện tử với cơ quan thuế.</w:t>
                        </w:r>
                      </w:p>
                      <w:p w:rsidR="00CD0B48" w:rsidRDefault="005F7376">
                        <w:pPr>
                          <w:spacing w:after="0" w:line="240" w:lineRule="auto"/>
                          <w:ind w:left="720" w:hanging="578"/>
                          <w:jc w:val="both"/>
                          <w:rPr>
                            <w:rFonts w:ascii="Times New Roman" w:eastAsia="Calibri" w:hAnsi="Times New Roman" w:cs="Times New Roman"/>
                            <w:color w:val="000000"/>
                          </w:rPr>
                        </w:pPr>
                        <w:r>
                          <w:rPr>
                            <w:rFonts w:ascii="Times New Roman" w:eastAsia="Calibri" w:hAnsi="Times New Roman" w:cs="Times New Roman"/>
                            <w:color w:val="000000"/>
                          </w:rPr>
                          <w:t>Do tổ chức, cá nhân bán hàng hóa, cung cấp dịch vụ lập</w:t>
                        </w:r>
                        <w:r>
                          <w:rPr>
                            <w:rFonts w:ascii="Times New Roman" w:eastAsia="Calibri" w:hAnsi="Times New Roman" w:cs="Times New Roman"/>
                            <w:b/>
                            <w:bCs/>
                            <w:i/>
                            <w:iCs/>
                            <w:color w:val="000000"/>
                          </w:rPr>
                          <w:t xml:space="preserve"> bằng phương tiện điện tử.</w:t>
                        </w:r>
                      </w:p>
                      <w:p w:rsidR="00CD0B48" w:rsidRDefault="005F7376">
                        <w:pPr>
                          <w:spacing w:after="0" w:line="240" w:lineRule="auto"/>
                          <w:ind w:left="720"/>
                          <w:jc w:val="both"/>
                          <w:rPr>
                            <w:rFonts w:ascii="Times New Roman" w:eastAsia="Calibri" w:hAnsi="Times New Roman" w:cs="Times New Roman"/>
                          </w:rPr>
                        </w:pPr>
                        <w:r>
                          <w:rPr>
                            <w:rFonts w:ascii="Times New Roman" w:eastAsia="Calibri" w:hAnsi="Times New Roman" w:cs="Times New Roman"/>
                          </w:rPr>
                          <w:t> </w:t>
                        </w:r>
                      </w:p>
                      <w:p w:rsidR="00CD0B48" w:rsidRDefault="005F7376">
                        <w:pPr>
                          <w:spacing w:after="0" w:line="240" w:lineRule="auto"/>
                          <w:rPr>
                            <w:rFonts w:ascii="Times New Roman" w:eastAsia="Calibri" w:hAnsi="Times New Roman" w:cs="Times New Roman"/>
                            <w:b/>
                            <w:bCs/>
                          </w:rPr>
                        </w:pPr>
                        <w:r>
                          <w:rPr>
                            <w:rFonts w:ascii="Times New Roman" w:eastAsia="Calibri" w:hAnsi="Times New Roman" w:cs="Times New Roman"/>
                            <w:b/>
                            <w:bCs/>
                          </w:rPr>
                          <w:t> </w:t>
                        </w:r>
                      </w:p>
                      <w:p w:rsidR="00CD0B48" w:rsidRDefault="005F7376">
                        <w:pPr>
                          <w:spacing w:after="0" w:line="240" w:lineRule="auto"/>
                          <w:rPr>
                            <w:rFonts w:ascii="Times New Roman" w:eastAsia="Calibri" w:hAnsi="Times New Roman" w:cs="Times New Roman"/>
                          </w:rPr>
                        </w:pPr>
                        <w:r>
                          <w:rPr>
                            <w:rFonts w:ascii="Times New Roman" w:eastAsia="Calibri" w:hAnsi="Times New Roman" w:cs="Times New Roman"/>
                          </w:rPr>
                          <w:t> </w:t>
                        </w:r>
                      </w:p>
                    </w:txbxContent>
                  </v:textbox>
                </v:rect>
                <v:shapetype id="_x0000_t202" coordsize="21600,21600" o:spt="202" path="m,l,21600r21600,l21600,xe">
                  <v:stroke joinstyle="miter"/>
                  <v:path gradientshapeok="t" o:connecttype="rect"/>
                </v:shapetype>
                <v:shape id="Text Box 5" o:spid="_x0000_s1029" type="#_x0000_t202" style="position:absolute;left:173;top:10058;width:22281;height:1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Hóa đơn có mã của cơ quan thuế: </w:t>
                        </w:r>
                        <w:r>
                          <w:rPr>
                            <w:rFonts w:ascii="Times New Roman" w:eastAsia="Calibri" w:hAnsi="Times New Roman" w:cs="Times New Roman"/>
                            <w:sz w:val="20"/>
                            <w:szCs w:val="20"/>
                          </w:rPr>
                          <w:t>là HĐĐT được cơ quan thuế cấp mã trước khi tổ chức, cá nhân bán hàng hóa, cung cấp dịch vụ gửi cho người mua.</w:t>
                        </w:r>
                      </w:p>
                      <w:p w:rsidR="00CD0B48" w:rsidRDefault="005F7376">
                        <w:pPr>
                          <w:spacing w:after="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Mã của cơ quan thuế trên HĐĐT bao gồm số giao dịch là một dãy số duy nhất do hệ thống của CQT tạo ra và một chuỗi ký tự được cơ quan thuế mã hóa dựa trên thông tin của người bán lập trên hóa đơn. </w:t>
                        </w:r>
                      </w:p>
                    </w:txbxContent>
                  </v:textbox>
                </v:shape>
                <v:shape id="Text Box 5" o:spid="_x0000_s1030" type="#_x0000_t202" style="position:absolute;left:25019;top:10018;width:21399;height:16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D0B48" w:rsidRDefault="005F7376">
                        <w:pPr>
                          <w:rPr>
                            <w:rFonts w:ascii="Times New Roman" w:eastAsia="Calibri" w:hAnsi="Times New Roman" w:cs="Times New Roman"/>
                            <w:sz w:val="24"/>
                            <w:szCs w:val="24"/>
                          </w:rPr>
                        </w:pPr>
                        <w:r>
                          <w:rPr>
                            <w:rFonts w:ascii="Times New Roman" w:eastAsia="Calibri" w:hAnsi="Times New Roman" w:cs="Times New Roman"/>
                            <w:b/>
                            <w:bCs/>
                            <w:i/>
                            <w:iCs/>
                          </w:rPr>
                          <w:t>Hóa đơn điện tử không có mã</w:t>
                        </w:r>
                        <w:r>
                          <w:rPr>
                            <w:rFonts w:ascii="Times New Roman" w:eastAsia="Calibri" w:hAnsi="Times New Roman" w:cs="Times New Roman"/>
                          </w:rPr>
                          <w:t xml:space="preserve"> của cơ quan thuế: là hóa đơn điện tử do tổ chức bán hàng hóa, cung cấp dịch vụ gửi cho người mua không có mã của cơ quan thuế.</w:t>
                        </w:r>
                      </w:p>
                    </w:txbxContent>
                  </v:textbox>
                </v:shape>
                <v:shape id="Text Box 5" o:spid="_x0000_s1031" type="#_x0000_t202" style="position:absolute;left:173;top:30504;width:21639;height:3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CD0B48" w:rsidRDefault="005F7376">
                        <w:pPr>
                          <w:spacing w:after="0" w:line="240" w:lineRule="auto"/>
                          <w:jc w:val="both"/>
                          <w:rPr>
                            <w:rFonts w:ascii="Times New Roman" w:eastAsia="Calibri" w:hAnsi="Times New Roman" w:cs="Times New Roman"/>
                            <w:b/>
                            <w:bCs/>
                            <w:i/>
                            <w:iCs/>
                          </w:rPr>
                        </w:pPr>
                        <w:r>
                          <w:rPr>
                            <w:rFonts w:ascii="Times New Roman" w:eastAsia="Calibri" w:hAnsi="Times New Roman" w:cs="Times New Roman"/>
                            <w:b/>
                            <w:bCs/>
                            <w:i/>
                            <w:iCs/>
                          </w:rPr>
                          <w:t>Đối tượng áp dụng</w:t>
                        </w:r>
                      </w:p>
                      <w:p w:rsidR="00CD0B48" w:rsidRDefault="005F7376">
                        <w:pPr>
                          <w:spacing w:after="0" w:line="240" w:lineRule="auto"/>
                          <w:jc w:val="both"/>
                          <w:rPr>
                            <w:rFonts w:ascii="Times New Roman" w:eastAsia="Calibri" w:hAnsi="Times New Roman" w:cs="Times New Roman"/>
                            <w:lang w:val="vi-VN"/>
                          </w:rPr>
                        </w:pPr>
                        <w:r>
                          <w:rPr>
                            <w:rFonts w:ascii="Times New Roman" w:eastAsia="Calibri" w:hAnsi="Times New Roman" w:cs="Times New Roman"/>
                          </w:rPr>
                          <w:t xml:space="preserve">- </w:t>
                        </w:r>
                        <w:r>
                          <w:rPr>
                            <w:rFonts w:ascii="Times New Roman" w:eastAsia="Calibri" w:hAnsi="Times New Roman" w:cs="Times New Roman"/>
                            <w:lang w:val="vi-VN"/>
                          </w:rPr>
                          <w:t xml:space="preserve">Doanh nghiệp, tổ chức kinh tế sử dụng </w:t>
                        </w:r>
                        <w:r>
                          <w:rPr>
                            <w:rFonts w:ascii="Times New Roman" w:eastAsia="Calibri" w:hAnsi="Times New Roman" w:cs="Times New Roman"/>
                          </w:rPr>
                          <w:t>HĐĐT</w:t>
                        </w:r>
                        <w:r>
                          <w:rPr>
                            <w:rFonts w:ascii="Times New Roman" w:eastAsia="Calibri" w:hAnsi="Times New Roman" w:cs="Times New Roman"/>
                            <w:lang w:val="vi-VN"/>
                          </w:rPr>
                          <w:t xml:space="preserve"> có mã của </w:t>
                        </w:r>
                        <w:r>
                          <w:rPr>
                            <w:rFonts w:ascii="Times New Roman" w:eastAsia="Calibri" w:hAnsi="Times New Roman" w:cs="Times New Roman"/>
                          </w:rPr>
                          <w:t>CQT</w:t>
                        </w:r>
                        <w:r>
                          <w:rPr>
                            <w:rFonts w:ascii="Times New Roman" w:eastAsia="Calibri" w:hAnsi="Times New Roman" w:cs="Times New Roman"/>
                            <w:lang w:val="vi-VN"/>
                          </w:rPr>
                          <w:t xml:space="preserve"> khi bán hàng hóa, cung cấp dịch vụ không phân biệt giá trị từng lần bán hàng hóa, cung cấp dịch vụ</w:t>
                        </w:r>
                        <w:r>
                          <w:rPr>
                            <w:rFonts w:ascii="Times New Roman" w:eastAsia="Calibri" w:hAnsi="Times New Roman" w:cs="Times New Roman"/>
                          </w:rPr>
                          <w:t>, trừ các trường hợp sử dụng hóa đơn không có mã nêu trên.</w:t>
                        </w:r>
                      </w:p>
                      <w:p w:rsidR="00CD0B48" w:rsidRDefault="005F7376">
                        <w:pPr>
                          <w:spacing w:after="0" w:line="240" w:lineRule="auto"/>
                          <w:jc w:val="both"/>
                          <w:rPr>
                            <w:rFonts w:ascii="Times New Roman" w:eastAsia="Calibri" w:hAnsi="Times New Roman" w:cs="Times New Roman"/>
                            <w:i/>
                            <w:iCs/>
                            <w:lang w:val="vi-VN"/>
                          </w:rPr>
                        </w:pPr>
                        <w:r>
                          <w:rPr>
                            <w:rFonts w:ascii="Times New Roman" w:eastAsia="Calibri" w:hAnsi="Times New Roman" w:cs="Times New Roman"/>
                            <w:i/>
                            <w:iCs/>
                            <w:lang w:val="vi-VN"/>
                          </w:rPr>
                          <w:t>(Khoản 1 Điều 91 Luật Quản lý thuế)</w:t>
                        </w:r>
                      </w:p>
                      <w:p w:rsidR="00CD0B48" w:rsidRDefault="005F7376">
                        <w:pPr>
                          <w:spacing w:after="0" w:line="240" w:lineRule="auto"/>
                          <w:jc w:val="both"/>
                          <w:rPr>
                            <w:rFonts w:ascii="Times New Roman" w:eastAsia="Calibri" w:hAnsi="Times New Roman" w:cs="Times New Roman"/>
                            <w:lang w:val="vi-VN"/>
                          </w:rPr>
                        </w:pPr>
                        <w:r>
                          <w:rPr>
                            <w:rFonts w:ascii="Times New Roman" w:hAnsi="Times New Roman"/>
                          </w:rPr>
                          <w:t xml:space="preserve">- </w:t>
                        </w:r>
                        <w:r>
                          <w:rPr>
                            <w:rFonts w:ascii="Times New Roman" w:hAnsi="Times New Roman"/>
                            <w:lang w:val="vi-VN"/>
                          </w:rPr>
                          <w:t xml:space="preserve">Người nộp thuế thuộc đối tượng sử dụng </w:t>
                        </w:r>
                        <w:r>
                          <w:rPr>
                            <w:rFonts w:ascii="Times New Roman" w:hAnsi="Times New Roman"/>
                          </w:rPr>
                          <w:t>HĐĐT</w:t>
                        </w:r>
                        <w:r>
                          <w:rPr>
                            <w:rFonts w:ascii="Times New Roman" w:hAnsi="Times New Roman"/>
                            <w:lang w:val="vi-VN"/>
                          </w:rPr>
                          <w:t xml:space="preserve"> không có mã theo quy định tại khoản 2 Điều 91 Luật Quản lý thuế số 38/2019/QH14 nếu thuộc trường hợp được xác định rủi ro cao về thuế theo quy định tại Thông tư số 31/2021/TT-BTC và được cơ quan thuế thông báo về việc chuyển đổi áp dụng </w:t>
                        </w:r>
                        <w:r>
                          <w:rPr>
                            <w:rFonts w:ascii="Times New Roman" w:hAnsi="Times New Roman"/>
                          </w:rPr>
                          <w:t>HĐĐT</w:t>
                        </w:r>
                        <w:r>
                          <w:rPr>
                            <w:rFonts w:ascii="Times New Roman" w:hAnsi="Times New Roman"/>
                            <w:lang w:val="vi-VN"/>
                          </w:rPr>
                          <w:t xml:space="preserve"> có mã của </w:t>
                        </w:r>
                        <w:r>
                          <w:rPr>
                            <w:rFonts w:ascii="Times New Roman" w:hAnsi="Times New Roman"/>
                          </w:rPr>
                          <w:t>CQT</w:t>
                        </w:r>
                        <w:r>
                          <w:rPr>
                            <w:rFonts w:ascii="Times New Roman" w:hAnsi="Times New Roman"/>
                            <w:lang w:val="vi-VN"/>
                          </w:rPr>
                          <w:t xml:space="preserve"> thì phải chuyển đổi sang áp dụng </w:t>
                        </w:r>
                        <w:r>
                          <w:rPr>
                            <w:rFonts w:ascii="Times New Roman" w:eastAsia="Calibri" w:hAnsi="Times New Roman" w:cs="Times New Roman"/>
                          </w:rPr>
                          <w:t>HĐĐT</w:t>
                        </w:r>
                        <w:r>
                          <w:rPr>
                            <w:rFonts w:ascii="Times New Roman" w:eastAsia="Calibri" w:hAnsi="Times New Roman" w:cs="Times New Roman"/>
                            <w:lang w:val="vi-VN"/>
                          </w:rPr>
                          <w:t xml:space="preserve"> </w:t>
                        </w:r>
                        <w:r>
                          <w:rPr>
                            <w:rFonts w:ascii="Times New Roman" w:hAnsi="Times New Roman"/>
                            <w:lang w:val="vi-VN"/>
                          </w:rPr>
                          <w:t>có mã của cơ quan thuế.</w:t>
                        </w:r>
                      </w:p>
                    </w:txbxContent>
                  </v:textbox>
                </v:shape>
                <v:shape id="Text Box 5" o:spid="_x0000_s1032" type="#_x0000_t202" style="position:absolute;left:23575;top:30724;width:23959;height:38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D0B48" w:rsidRDefault="005F7376">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Đối tượng áp dụng</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lang w:val="vi-VN"/>
                          </w:rPr>
                        </w:pPr>
                        <w:r>
                          <w:rPr>
                            <w:rFonts w:ascii="Times New Roman" w:eastAsia="Calibri" w:hAnsi="Times New Roman" w:cs="Times New Roman"/>
                            <w:sz w:val="20"/>
                            <w:szCs w:val="20"/>
                            <w:lang w:val="vi-VN"/>
                          </w:rPr>
                          <w:t>Doanh nghiệp kinh doanh ở lĩnh vực</w:t>
                        </w:r>
                        <w:r>
                          <w:rPr>
                            <w:rFonts w:ascii="Times New Roman" w:eastAsia="Calibri" w:hAnsi="Times New Roman" w:cs="Times New Roman"/>
                            <w:sz w:val="20"/>
                            <w:szCs w:val="20"/>
                          </w:rPr>
                          <w:t>:</w:t>
                        </w:r>
                        <w:r>
                          <w:rPr>
                            <w:rFonts w:ascii="Times New Roman" w:eastAsia="Calibri" w:hAnsi="Times New Roman" w:cs="Times New Roman"/>
                            <w:i/>
                            <w:iCs/>
                            <w:sz w:val="20"/>
                            <w:szCs w:val="20"/>
                          </w:rPr>
                          <w:t xml:space="preserve">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iện lực, xăng dầu, bưu chính viễn thông, nước sạch,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T</w:t>
                        </w:r>
                        <w:r>
                          <w:rPr>
                            <w:rFonts w:ascii="Times New Roman" w:eastAsia="Calibri" w:hAnsi="Times New Roman" w:cs="Times New Roman"/>
                            <w:sz w:val="20"/>
                            <w:szCs w:val="20"/>
                            <w:lang w:val="vi-VN"/>
                          </w:rPr>
                          <w:t xml:space="preserve">ài chính tín dụng, bảo hiểm, y tế,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K</w:t>
                        </w:r>
                        <w:r>
                          <w:rPr>
                            <w:rFonts w:ascii="Times New Roman" w:eastAsia="Calibri" w:hAnsi="Times New Roman" w:cs="Times New Roman"/>
                            <w:sz w:val="20"/>
                            <w:szCs w:val="20"/>
                            <w:lang w:val="vi-VN"/>
                          </w:rPr>
                          <w:t xml:space="preserve">inh doanh thương mại điện tử, kinh doanh siêu thị, thương mại,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V</w:t>
                        </w:r>
                        <w:r>
                          <w:rPr>
                            <w:rFonts w:ascii="Times New Roman" w:eastAsia="Calibri" w:hAnsi="Times New Roman" w:cs="Times New Roman"/>
                            <w:sz w:val="20"/>
                            <w:szCs w:val="20"/>
                            <w:lang w:val="vi-VN"/>
                          </w:rPr>
                          <w:t>ận tải hàng không, đường bộ, đường sắt, đường biển, đường thủy</w:t>
                        </w:r>
                      </w:p>
                      <w:p w:rsidR="00CD0B48" w:rsidRDefault="005F7376">
                        <w:pPr>
                          <w:pStyle w:val="ListParagraph"/>
                          <w:numPr>
                            <w:ilvl w:val="0"/>
                            <w:numId w:val="1"/>
                          </w:numPr>
                          <w:spacing w:after="0" w:line="240" w:lineRule="auto"/>
                          <w:ind w:left="142" w:hanging="142"/>
                          <w:jc w:val="both"/>
                          <w:rPr>
                            <w:rFonts w:ascii="Times New Roman" w:eastAsia="Calibri" w:hAnsi="Times New Roman" w:cs="Times New Roman"/>
                            <w:sz w:val="20"/>
                            <w:szCs w:val="20"/>
                          </w:rPr>
                        </w:pPr>
                        <w:r>
                          <w:rPr>
                            <w:rFonts w:ascii="Times New Roman" w:eastAsia="Calibri" w:hAnsi="Times New Roman" w:cs="Times New Roman"/>
                            <w:sz w:val="20"/>
                            <w:szCs w:val="20"/>
                          </w:rPr>
                          <w:t>D</w:t>
                        </w:r>
                        <w:r>
                          <w:rPr>
                            <w:rFonts w:ascii="Times New Roman" w:eastAsia="Calibri" w:hAnsi="Times New Roman" w:cs="Times New Roman"/>
                            <w:sz w:val="20"/>
                            <w:szCs w:val="20"/>
                            <w:lang w:val="vi-VN"/>
                          </w:rPr>
                          <w:t>oanh nghiệp, tổ chức kinh tế</w:t>
                        </w:r>
                        <w:r>
                          <w:rPr>
                            <w:rFonts w:ascii="Times New Roman" w:eastAsia="Calibri" w:hAnsi="Times New Roman" w:cs="Times New Roman"/>
                            <w:sz w:val="20"/>
                            <w:szCs w:val="20"/>
                          </w:rPr>
                          <w:t>:</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Đ</w:t>
                        </w:r>
                        <w:r>
                          <w:rPr>
                            <w:rFonts w:ascii="Times New Roman" w:eastAsia="Calibri" w:hAnsi="Times New Roman" w:cs="Times New Roman"/>
                            <w:sz w:val="20"/>
                            <w:szCs w:val="20"/>
                            <w:lang w:val="vi-VN"/>
                          </w:rPr>
                          <w:t xml:space="preserve">ã hoặc sẽ thực hiện giao dịch với </w:t>
                        </w:r>
                        <w:r>
                          <w:rPr>
                            <w:rFonts w:ascii="Times New Roman" w:eastAsia="Calibri" w:hAnsi="Times New Roman" w:cs="Times New Roman"/>
                            <w:sz w:val="20"/>
                            <w:szCs w:val="20"/>
                          </w:rPr>
                          <w:t xml:space="preserve">CQT </w:t>
                        </w:r>
                        <w:r>
                          <w:rPr>
                            <w:rFonts w:ascii="Times New Roman" w:eastAsia="Calibri" w:hAnsi="Times New Roman" w:cs="Times New Roman"/>
                            <w:sz w:val="20"/>
                            <w:szCs w:val="20"/>
                            <w:lang w:val="vi-VN"/>
                          </w:rPr>
                          <w:t xml:space="preserve">bằng phương tiện điện tử </w:t>
                        </w:r>
                      </w:p>
                      <w:p w:rsidR="00CD0B48" w:rsidRDefault="005F737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w:t>
                        </w:r>
                        <w:r>
                          <w:rPr>
                            <w:rFonts w:ascii="Times New Roman" w:eastAsia="Calibri" w:hAnsi="Times New Roman" w:cs="Times New Roman"/>
                            <w:sz w:val="20"/>
                            <w:szCs w:val="20"/>
                            <w:lang w:val="vi-VN"/>
                          </w:rPr>
                          <w:t xml:space="preserve">ây dựng hạ tầng </w:t>
                        </w:r>
                        <w:r>
                          <w:rPr>
                            <w:rFonts w:ascii="Times New Roman" w:eastAsia="Calibri" w:hAnsi="Times New Roman" w:cs="Times New Roman"/>
                            <w:sz w:val="20"/>
                            <w:szCs w:val="20"/>
                          </w:rPr>
                          <w:t>CNTT</w:t>
                        </w:r>
                        <w:r>
                          <w:rPr>
                            <w:rFonts w:ascii="Times New Roman" w:eastAsia="Calibri" w:hAnsi="Times New Roman" w:cs="Times New Roman"/>
                            <w:sz w:val="20"/>
                            <w:szCs w:val="20"/>
                            <w:lang w:val="vi-VN"/>
                          </w:rPr>
                          <w:t xml:space="preserve">, có hệ thống phần mềm kế toán, phần mềm lập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đáp ứng lập, tra cứu </w:t>
                        </w:r>
                        <w:r>
                          <w:rPr>
                            <w:rFonts w:ascii="Times New Roman" w:eastAsia="Calibri" w:hAnsi="Times New Roman" w:cs="Times New Roman"/>
                            <w:sz w:val="20"/>
                            <w:szCs w:val="20"/>
                          </w:rPr>
                          <w:t>HĐĐT</w:t>
                        </w:r>
                        <w:r>
                          <w:rPr>
                            <w:rFonts w:ascii="Times New Roman" w:eastAsia="Calibri" w:hAnsi="Times New Roman" w:cs="Times New Roman"/>
                            <w:sz w:val="20"/>
                            <w:szCs w:val="20"/>
                            <w:lang w:val="vi-VN"/>
                          </w:rPr>
                          <w:t xml:space="preserve">, lưu trữ dữ liệu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theo quy định </w:t>
                        </w:r>
                      </w:p>
                      <w:p w:rsidR="00CD0B48" w:rsidRDefault="005F7376">
                        <w:pPr>
                          <w:spacing w:after="0" w:line="240" w:lineRule="auto"/>
                          <w:contextualSpacing/>
                          <w:jc w:val="both"/>
                          <w:rPr>
                            <w:rFonts w:ascii="Times New Roman" w:eastAsia="Calibri" w:hAnsi="Times New Roman" w:cs="Times New Roman"/>
                            <w:sz w:val="20"/>
                            <w:szCs w:val="20"/>
                            <w:lang w:val="vi-VN"/>
                          </w:rPr>
                        </w:pPr>
                        <w:r>
                          <w:rPr>
                            <w:rFonts w:ascii="Times New Roman" w:eastAsia="Calibri" w:hAnsi="Times New Roman" w:cs="Times New Roman"/>
                            <w:sz w:val="20"/>
                            <w:szCs w:val="20"/>
                          </w:rPr>
                          <w:t>+ B</w:t>
                        </w:r>
                        <w:r>
                          <w:rPr>
                            <w:rFonts w:ascii="Times New Roman" w:eastAsia="Calibri" w:hAnsi="Times New Roman" w:cs="Times New Roman"/>
                            <w:sz w:val="20"/>
                            <w:szCs w:val="20"/>
                            <w:lang w:val="vi-VN"/>
                          </w:rPr>
                          <w:t xml:space="preserve">ảo đảm việc truyền dữ liệu hóa đơn điện tử đến người mua và đến cơ quan thuế được sử dụng </w:t>
                        </w:r>
                        <w:r>
                          <w:rPr>
                            <w:rFonts w:ascii="Times New Roman" w:eastAsia="Calibri" w:hAnsi="Times New Roman" w:cs="Times New Roman"/>
                            <w:sz w:val="20"/>
                            <w:szCs w:val="20"/>
                          </w:rPr>
                          <w:t xml:space="preserve">HĐĐT </w:t>
                        </w:r>
                        <w:r>
                          <w:rPr>
                            <w:rFonts w:ascii="Times New Roman" w:eastAsia="Calibri" w:hAnsi="Times New Roman" w:cs="Times New Roman"/>
                            <w:sz w:val="20"/>
                            <w:szCs w:val="20"/>
                            <w:lang w:val="vi-VN"/>
                          </w:rPr>
                          <w:t xml:space="preserve">không có mã của cơ quan thuế khi bán hàng hóa, cung cấp dịch vụ, không phân biệt giá trị từng lần bán hàng hóa, cung cấp dịch vụ, trừ trường hợp rủi ro về thuế cao theo quy định của Bộ trưởng Bộ Tài chính. </w:t>
                        </w:r>
                        <w:r>
                          <w:rPr>
                            <w:rFonts w:ascii="Times New Roman" w:eastAsia="Calibri" w:hAnsi="Times New Roman" w:cs="Times New Roman"/>
                            <w:i/>
                            <w:iCs/>
                            <w:sz w:val="20"/>
                            <w:szCs w:val="20"/>
                          </w:rPr>
                          <w:t>(Khoản 2 Điều 91 Luật Quản lý thuế số 38)</w:t>
                        </w:r>
                      </w:p>
                      <w:p w:rsidR="00CD0B48" w:rsidRDefault="00CD0B48">
                        <w:pPr>
                          <w:spacing w:after="0" w:line="240" w:lineRule="auto"/>
                          <w:contextualSpacing/>
                          <w:rPr>
                            <w:rFonts w:ascii="Times New Roman" w:eastAsia="Calibri" w:hAnsi="Times New Roman" w:cs="Times New Roman"/>
                            <w:b/>
                            <w:bCs/>
                            <w:i/>
                            <w:iCs/>
                            <w:sz w:val="20"/>
                            <w:szCs w:val="20"/>
                          </w:rPr>
                        </w:pPr>
                      </w:p>
                    </w:txbxContent>
                  </v:textbox>
                </v:shape>
                <v:shapetype id="_x0000_t32" coordsize="21600,21600" o:spt="32" o:oned="t" path="m,l21600,21600e" filled="f">
                  <v:path arrowok="t" fillok="f" o:connecttype="none"/>
                  <o:lock v:ext="edit" shapetype="t"/>
                </v:shapetype>
                <v:shape id="Straight Arrow Connector 15" o:spid="_x0000_s1033" type="#_x0000_t32" style="position:absolute;left:17849;top:7683;width:11261;height:37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" strokecolor="#4472c4 [3204]" strokeweight=".5pt">
                  <v:stroke endarrow="block" joinstyle="miter"/>
                </v:shape>
                <v:shape id="Straight Arrow Connector 16" o:spid="_x0000_s1034" type="#_x0000_t32" style="position:absolute;left:29168;top:7917;width:4262;height: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" strokecolor="#4472c4 [3204]" strokeweight=".5pt">
                  <v:stroke endarrow="block" joinstyle="miter"/>
                </v:shape>
                <v:shape id="Straight Arrow Connector 17" o:spid="_x0000_s1035" type="#_x0000_t32" style="position:absolute;left:9906;top:26013;width:110;height:43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" strokecolor="#4472c4 [3204]" strokeweight=".5pt">
                  <v:stroke endarrow="block" joinstyle="miter"/>
                </v:shape>
                <v:shape id="Straight Arrow Connector 18" o:spid="_x0000_s1036" type="#_x0000_t32" style="position:absolute;left:35337;top:26806;width:139;height:4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Text Box 5" o:spid="_x0000_s1037" type="#_x0000_t202" style="position:absolute;left:48382;top:10282;width:19531;height:16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CD0B48" w:rsidRDefault="005F7376">
                        <w:pPr>
                          <w:pStyle w:val="ListParagraph"/>
                          <w:widowControl w:val="0"/>
                          <w:spacing w:before="120" w:after="120"/>
                          <w:ind w:left="0"/>
                          <w:jc w:val="both"/>
                          <w:rPr>
                            <w:rFonts w:ascii="Times New Roman" w:hAnsi="Times New Roman" w:cs="Times New Roman"/>
                            <w:b/>
                            <w:i/>
                          </w:rPr>
                        </w:pPr>
                        <w:r>
                          <w:rPr>
                            <w:rFonts w:ascii="Times New Roman" w:hAnsi="Times New Roman" w:cs="Times New Roman"/>
                            <w:b/>
                            <w:i/>
                          </w:rPr>
                          <w:t>H</w:t>
                        </w:r>
                        <w:r>
                          <w:rPr>
                            <w:rFonts w:ascii="Times New Roman" w:hAnsi="Times New Roman" w:cs="Times New Roman"/>
                            <w:b/>
                            <w:i/>
                            <w:lang w:val="vi-VN"/>
                          </w:rPr>
                          <w:t>óa đơn điện tử có mã của cơ quan thuế khởi tạo từ máy tính tiền có kết nối chuyển dữ liệu với cơ quan thuế</w:t>
                        </w:r>
                      </w:p>
                      <w:p w:rsidR="00CD0B48" w:rsidRDefault="00CD0B48">
                        <w:pPr>
                          <w:rPr>
                            <w:rFonts w:eastAsia="Calibri"/>
                            <w:b/>
                            <w:bCs/>
                            <w:i/>
                            <w:iCs/>
                          </w:rPr>
                        </w:pPr>
                      </w:p>
                    </w:txbxContent>
                  </v:textbox>
                </v:shape>
                <v:shape id="Straight Arrow Connector 25" o:spid="_x0000_s1038" type="#_x0000_t32" style="position:absolute;left:28936;top:7748;width:20295;height:2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4472c4 [3204]" strokeweight=".5pt">
                  <v:stroke endarrow="block" joinstyle="miter"/>
                </v:shape>
                <v:shape id="Text Box 5" o:spid="_x0000_s1039" type="#_x0000_t202" style="position:absolute;left:48757;top:30961;width:20108;height:3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CD0B48" w:rsidRDefault="005F7376">
                        <w:pPr>
                          <w:spacing w:before="120" w:after="120"/>
                          <w:ind w:left="142" w:firstLine="142"/>
                          <w:jc w:val="both"/>
                          <w:rPr>
                            <w:rFonts w:ascii="Times New Roman" w:eastAsia="Calibri" w:hAnsi="Times New Roman" w:cs="Times New Roman"/>
                            <w:b/>
                            <w:bCs/>
                            <w:i/>
                            <w:iCs/>
                            <w:lang w:val="vi-VN"/>
                          </w:rPr>
                        </w:pPr>
                        <w:r>
                          <w:rPr>
                            <w:rFonts w:ascii="Times New Roman" w:eastAsia="Calibri" w:hAnsi="Times New Roman" w:cs="Times New Roman"/>
                            <w:b/>
                            <w:bCs/>
                            <w:i/>
                            <w:iCs/>
                            <w:lang w:val="vi-VN"/>
                          </w:rPr>
                          <w:t xml:space="preserve">Đối tượng áp dụng </w:t>
                        </w:r>
                      </w:p>
                      <w:p w:rsidR="00CD0B48" w:rsidRDefault="005F7376">
                        <w:pPr>
                          <w:spacing w:before="120" w:after="120"/>
                          <w:jc w:val="both"/>
                          <w:rPr>
                            <w:rFonts w:ascii="Times New Roman" w:eastAsia="Calibri" w:hAnsi="Times New Roman" w:cs="Times New Roman"/>
                            <w:b/>
                            <w:bCs/>
                            <w:i/>
                            <w:iCs/>
                            <w:lang w:val="vi-VN"/>
                          </w:rPr>
                        </w:pPr>
                        <w:r>
                          <w:rPr>
                            <w:rFonts w:ascii="Times New Roman" w:eastAsia="Calibri" w:hAnsi="Times New Roman" w:cs="Times New Roman"/>
                            <w:spacing w:val="-2"/>
                            <w:lang w:val="vi-VN"/>
                          </w:rPr>
                          <w:t xml:space="preserve">Doanh nghiệp, hộ, cá nhân kinh doanh nộp thuế theo phương pháp kê khai có hoạt động cung cấp </w:t>
                        </w:r>
                        <w:r>
                          <w:rPr>
                            <w:rFonts w:ascii="Times New Roman" w:eastAsia="Calibri" w:hAnsi="Times New Roman" w:cs="Times New Roman"/>
                            <w:spacing w:val="-2"/>
                          </w:rPr>
                          <w:t>HH</w:t>
                        </w:r>
                        <w:r>
                          <w:rPr>
                            <w:rFonts w:ascii="Times New Roman" w:eastAsia="Calibri" w:hAnsi="Times New Roman" w:cs="Times New Roman"/>
                            <w:spacing w:val="-2"/>
                            <w:lang w:val="vi-VN"/>
                          </w:rPr>
                          <w:t xml:space="preserve">, </w:t>
                        </w:r>
                        <w:r>
                          <w:rPr>
                            <w:rFonts w:ascii="Times New Roman" w:eastAsia="Calibri" w:hAnsi="Times New Roman" w:cs="Times New Roman"/>
                            <w:spacing w:val="-2"/>
                          </w:rPr>
                          <w:t>DV</w:t>
                        </w:r>
                        <w:r>
                          <w:rPr>
                            <w:rFonts w:ascii="Times New Roman" w:eastAsia="Calibri" w:hAnsi="Times New Roman" w:cs="Times New Roman"/>
                            <w:spacing w:val="-2"/>
                            <w:lang w:val="vi-VN"/>
                          </w:rPr>
                          <w:t xml:space="preserve"> trực tiếp đến người tiêu dùng theo mô hình kinh doanh (trung tâm thương mại; siêu thị; bán lẻ hàng tiêu dùng; ăn uống; nhà hàng; khách sạn; bán lẻ thuốc tân dược; dịch vụ vui chơi, giải trí và các dịch vụ khác) được lựa chọn sử dụng </w:t>
                        </w:r>
                        <w:r>
                          <w:rPr>
                            <w:rFonts w:ascii="Times New Roman" w:eastAsia="Calibri" w:hAnsi="Times New Roman" w:cs="Times New Roman"/>
                            <w:spacing w:val="-2"/>
                          </w:rPr>
                          <w:t>HĐĐT</w:t>
                        </w:r>
                        <w:r>
                          <w:rPr>
                            <w:rFonts w:ascii="Times New Roman" w:eastAsia="Calibri" w:hAnsi="Times New Roman" w:cs="Times New Roman"/>
                            <w:spacing w:val="-2"/>
                            <w:lang w:val="vi-VN"/>
                          </w:rPr>
                          <w:t xml:space="preserve"> được khởi tạo từ máy tính tiền có kết nối chuyển dữ liệu điện tử với </w:t>
                        </w:r>
                        <w:r>
                          <w:rPr>
                            <w:rFonts w:ascii="Times New Roman" w:eastAsia="Calibri" w:hAnsi="Times New Roman" w:cs="Times New Roman"/>
                            <w:spacing w:val="-2"/>
                          </w:rPr>
                          <w:t>CQT</w:t>
                        </w:r>
                        <w:r>
                          <w:rPr>
                            <w:rFonts w:ascii="Times New Roman" w:eastAsia="Calibri" w:hAnsi="Times New Roman" w:cs="Times New Roman"/>
                            <w:spacing w:val="-2"/>
                            <w:lang w:val="vi-VN"/>
                          </w:rPr>
                          <w:t xml:space="preserve"> hoặc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 xml:space="preserve">có mã, </w:t>
                        </w:r>
                        <w:r>
                          <w:rPr>
                            <w:rFonts w:ascii="Times New Roman" w:eastAsia="Calibri" w:hAnsi="Times New Roman" w:cs="Times New Roman"/>
                            <w:spacing w:val="-2"/>
                          </w:rPr>
                          <w:t xml:space="preserve">HĐĐT </w:t>
                        </w:r>
                        <w:r>
                          <w:rPr>
                            <w:rFonts w:ascii="Times New Roman" w:eastAsia="Calibri" w:hAnsi="Times New Roman" w:cs="Times New Roman"/>
                            <w:spacing w:val="-2"/>
                            <w:lang w:val="vi-VN"/>
                          </w:rPr>
                          <w:t>không có mã.</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t> </w:t>
                        </w:r>
                      </w:p>
                      <w:p w:rsidR="00CD0B48" w:rsidRDefault="005F7376">
                        <w:pPr>
                          <w:ind w:left="142" w:firstLine="142"/>
                          <w:rPr>
                            <w:rFonts w:ascii="Times New Roman" w:eastAsia="Calibri" w:hAnsi="Times New Roman" w:cs="Times New Roman"/>
                            <w:b/>
                            <w:bCs/>
                            <w:color w:val="FF0000"/>
                          </w:rPr>
                        </w:pPr>
                        <w:r>
                          <w:rPr>
                            <w:rFonts w:ascii="Times New Roman" w:eastAsia="Calibri" w:hAnsi="Times New Roman" w:cs="Times New Roman"/>
                            <w:b/>
                            <w:bCs/>
                            <w:color w:val="FF0000"/>
                          </w:rPr>
                          <w:br/>
                          <w:t> </w:t>
                        </w:r>
                      </w:p>
                      <w:p w:rsidR="00CD0B48" w:rsidRDefault="005F7376">
                        <w:pPr>
                          <w:ind w:left="142" w:firstLine="142"/>
                          <w:jc w:val="both"/>
                          <w:rPr>
                            <w:rFonts w:ascii="Times New Roman" w:eastAsia="Calibri" w:hAnsi="Times New Roman" w:cs="Times New Roman"/>
                            <w:i/>
                            <w:iCs/>
                            <w:lang w:val="vi-VN"/>
                          </w:rPr>
                        </w:pPr>
                        <w:r>
                          <w:rPr>
                            <w:rFonts w:ascii="Times New Roman" w:eastAsia="Calibri" w:hAnsi="Times New Roman" w:cs="Times New Roman"/>
                            <w:i/>
                            <w:iCs/>
                            <w:lang w:val="vi-VN"/>
                          </w:rPr>
                          <w:t> </w:t>
                        </w:r>
                      </w:p>
                    </w:txbxContent>
                  </v:textbox>
                </v:shape>
                <v:shape id="Straight Arrow Connector 27" o:spid="_x0000_s1040" type="#_x0000_t32" style="position:absolute;left:57788;top:26874;width:115;height:3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4472c4 [3204]" strokeweight=".5pt">
                  <v:stroke endarrow="block" joinstyle="miter"/>
                </v:shape>
                <w10:anchorlock/>
              </v:group>
            </w:pict>
          </mc:Fallback>
        </mc:AlternateContent>
      </w:r>
    </w:p>
    <w:p w:rsidR="00CD0B48" w:rsidRDefault="005F7376" w:rsidP="00FE601D">
      <w:pPr>
        <w:widowControl w:val="0"/>
        <w:spacing w:after="0" w:line="240" w:lineRule="auto"/>
        <w:contextualSpacing/>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lastRenderedPageBreak/>
        <w:t>II. Đăng ký sử dụng h</w:t>
      </w:r>
      <w:bookmarkStart w:id="0" w:name="_GoBack"/>
      <w:bookmarkEnd w:id="0"/>
      <w:r>
        <w:rPr>
          <w:rFonts w:ascii="Times New Roman" w:hAnsi="Times New Roman" w:cs="Times New Roman"/>
          <w:b/>
          <w:iCs/>
          <w:color w:val="000000" w:themeColor="text1"/>
          <w:sz w:val="28"/>
          <w:szCs w:val="28"/>
        </w:rPr>
        <w:t>óa đơn điện tử có mã của của cơ quan thuế như thế nào?</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Đăng ký thông tin sử dụng hóa đơn điện tử trên mẫu 01/ĐKTĐ-HĐĐT Phụ lục IA ban hành kèm theo Nghị định số 123/2020/NĐ-CP</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
          <w:i/>
          <w:sz w:val="24"/>
          <w:szCs w:val="24"/>
        </w:rPr>
        <w:t xml:space="preserve">Bước 1: </w:t>
      </w:r>
      <w:r>
        <w:rPr>
          <w:rFonts w:ascii="Times New Roman" w:hAnsi="Times New Roman" w:cs="Times New Roman"/>
          <w:bCs/>
          <w:iCs/>
          <w:sz w:val="24"/>
          <w:szCs w:val="24"/>
        </w:rPr>
        <w:t>Truy cập vào Cổng thông tin điện tử Tổng cục thuế tại gdt.gov.vn và điền các thông tin tại Tờ khai đăng ký sử dụng hóa đơn điện tử bao gồm: tên người nộp thuế, mã số thuế, cơ quan thuế quản lý, người liên hệ, địa chỉ liên hệ, điện thoại liên hệ, thư liên hệ.</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2: Tích lựa chọn hình thức hóa đơn có mã hoặc không có mã </w:t>
      </w:r>
      <w:r>
        <w:rPr>
          <w:rFonts w:ascii="Times New Roman" w:hAnsi="Times New Roman" w:cs="Times New Roman"/>
          <w:bCs/>
          <w:i/>
          <w:sz w:val="24"/>
          <w:szCs w:val="24"/>
        </w:rPr>
        <w:t>(chỉ tiêu 1)</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sz w:val="24"/>
          <w:szCs w:val="24"/>
        </w:rPr>
        <w:sym w:font="Wingdings" w:char="F0FC"/>
      </w:r>
      <w:r>
        <w:rPr>
          <w:rFonts w:ascii="Times New Roman" w:hAnsi="Times New Roman" w:cs="Times New Roman"/>
          <w:bCs/>
          <w:iCs/>
          <w:sz w:val="24"/>
          <w:szCs w:val="24"/>
        </w:rPr>
        <w:t xml:space="preserve"> Có mã của cơ quan thuế</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 Không có mã của cơ quan thuế.</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3: Tích lựa chọn sử dụng hóa đơn điện tử có mã phải trả tiền dịch vụ hay không phải trả tiền dịch vụ (nếu có)</w:t>
      </w:r>
      <w:r>
        <w:rPr>
          <w:rFonts w:ascii="Times New Roman" w:hAnsi="Times New Roman" w:cs="Times New Roman"/>
          <w:bCs/>
          <w:i/>
          <w:sz w:val="24"/>
          <w:szCs w:val="24"/>
        </w:rPr>
        <w:t xml:space="preserve"> (chỉ tiêu 2)</w:t>
      </w:r>
    </w:p>
    <w:p w:rsidR="00CD0B48" w:rsidRDefault="005F7376">
      <w:pPr>
        <w:spacing w:after="0"/>
        <w:ind w:firstLine="426"/>
        <w:contextualSpacing/>
        <w:jc w:val="both"/>
        <w:rPr>
          <w:rFonts w:ascii="Times New Roman" w:hAnsi="Times New Roman" w:cs="Times New Roman"/>
          <w:sz w:val="24"/>
          <w:szCs w:val="24"/>
        </w:rPr>
      </w:pPr>
      <w:r>
        <w:rPr>
          <w:rFonts w:ascii="Times New Roman" w:hAnsi="Times New Roman" w:cs="Times New Roman"/>
          <w:sz w:val="24"/>
          <w:szCs w:val="24"/>
        </w:rPr>
        <w:t>Trường hợp sử dụng hóa đơn điện tử có mã không phải trả tiền dịch vụ thì doanh nghiệp xác định để lựa chọn phù hợp:</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Doanh nghiệp nhỏ và vừa, hợp tác xã, hộ, cá nhân kinh doanh tại địa bàn có điều kiện kinh tế xã hội khó khăn, địa bàn có điều kiện kinh tế xã hội đặc biệt khó khăn. </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2"/>
          <w:sz w:val="24"/>
          <w:szCs w:val="24"/>
        </w:rPr>
        <w:t>Doanh nghiệp nhỏ và vừa khác theo đề nghị của Ủy ban nhân dân tỉnh, thành phố trực thuộc Trung ương gửi Bộ Tài chính trừ doanh nghiệp hoạt động tại các khu kinh tế, khu công nghiệp, khu công nghệ cao.</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4: Phương thức chuyển dữ liệu hóa đơn điện tử:</w:t>
      </w:r>
      <w:r>
        <w:rPr>
          <w:rFonts w:ascii="Times New Roman" w:hAnsi="Times New Roman" w:cs="Times New Roman"/>
          <w:bCs/>
          <w:i/>
          <w:sz w:val="24"/>
          <w:szCs w:val="24"/>
        </w:rPr>
        <w:t xml:space="preserve"> (chỉ tiêu 3)</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Đối với trường hợp sử dụng hóa đơn điện tử có mã của của cơ quan thuế, doanh nghiệp không cần thực hiện việc chuyển dữ liệu hóa đơn điện tử</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5: Lựa chọn loại hóa đơn sử dụng </w:t>
      </w:r>
      <w:r>
        <w:rPr>
          <w:rFonts w:ascii="Times New Roman" w:hAnsi="Times New Roman" w:cs="Times New Roman"/>
          <w:bCs/>
          <w:i/>
          <w:sz w:val="24"/>
          <w:szCs w:val="24"/>
        </w:rPr>
        <w:t>(chỉ tiêu 4)</w:t>
      </w:r>
    </w:p>
    <w:p w:rsidR="00CD0B48" w:rsidRDefault="005F7376">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Doanh nghiệp căn cứ phương pháp kê khai của đơn vị (kê khai theo phương pháp khấu trừ, kê khai theo phương pháp trực tiếp,…) để lựa chọn loại hóa đơn cần sử dụng: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GTGT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bán hàng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tài sản công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hàng dự trữ quốc gia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Các loại hóa đơn khác</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Cs/>
          <w:i/>
          <w:sz w:val="24"/>
          <w:szCs w:val="24"/>
        </w:rPr>
        <w:t>□ Các chứng từ được in, phát hành, sử dụng và quản lý như hóa đơn</w:t>
      </w:r>
      <w:r>
        <w:rPr>
          <w:rFonts w:ascii="Times New Roman" w:hAnsi="Times New Roman" w:cs="Times New Roman"/>
          <w:b/>
          <w:i/>
          <w:sz w:val="24"/>
          <w:szCs w:val="24"/>
        </w:rPr>
        <w: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 xml:space="preserve">Bước 6: Điền các danh sách chứng thư số sử dụng </w:t>
      </w:r>
      <w:r>
        <w:rPr>
          <w:rFonts w:ascii="Times New Roman" w:hAnsi="Times New Roman" w:cs="Times New Roman"/>
          <w:bCs/>
          <w:i/>
          <w:sz w:val="24"/>
          <w:szCs w:val="24"/>
        </w:rPr>
        <w:t>(chỉ tiêu 5: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Bước 7: Đăng ký ủy nhiệm lập hóa đơn (nếu có)</w:t>
      </w:r>
      <w:r>
        <w:rPr>
          <w:rFonts w:ascii="Times New Roman" w:hAnsi="Times New Roman" w:cs="Times New Roman"/>
          <w:bCs/>
          <w:i/>
          <w:sz w:val="24"/>
          <w:szCs w:val="24"/>
        </w:rPr>
        <w:t xml:space="preserve"> (chỉ tiêu 6: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8: Điền đầy đủ ngày tháng năm và ký tên người nộp thuế.</w:t>
      </w:r>
    </w:p>
    <w:p w:rsidR="00CD0B48" w:rsidRDefault="005F7376">
      <w:pPr>
        <w:spacing w:after="0"/>
        <w:contextualSpacing/>
        <w:rPr>
          <w:rFonts w:ascii="Times New Roman" w:hAnsi="Times New Roman" w:cs="Times New Roman"/>
          <w:b/>
          <w:i/>
          <w:sz w:val="24"/>
          <w:szCs w:val="24"/>
        </w:rPr>
      </w:pPr>
      <w:r>
        <w:rPr>
          <w:rFonts w:ascii="Times New Roman" w:hAnsi="Times New Roman" w:cs="Times New Roman"/>
          <w:b/>
          <w:i/>
          <w:sz w:val="24"/>
          <w:szCs w:val="24"/>
        </w:rPr>
        <w:br w:type="page"/>
      </w:r>
    </w:p>
    <w:p w:rsidR="00CD0B48" w:rsidRDefault="005F7376">
      <w:pPr>
        <w:widowControl w:val="0"/>
        <w:spacing w:before="60" w:after="0" w:line="240" w:lineRule="auto"/>
        <w:ind w:right="-235" w:firstLine="142"/>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lastRenderedPageBreak/>
        <w:t>III. Đăng ký sử dụng hóa đơn điện tử không có mã của của cơ quan thuế như thế nào?</w:t>
      </w:r>
    </w:p>
    <w:p w:rsidR="00CD0B48" w:rsidRDefault="005F7376">
      <w:pPr>
        <w:widowControl w:val="0"/>
        <w:spacing w:before="60" w:after="0" w:line="240" w:lineRule="auto"/>
        <w:ind w:firstLine="425"/>
        <w:jc w:val="both"/>
        <w:rPr>
          <w:rFonts w:ascii="Times New Roman" w:hAnsi="Times New Roman" w:cs="Times New Roman"/>
          <w:b/>
          <w:i/>
          <w:sz w:val="24"/>
          <w:szCs w:val="24"/>
        </w:rPr>
      </w:pPr>
      <w:r>
        <w:rPr>
          <w:rFonts w:ascii="Times New Roman" w:hAnsi="Times New Roman" w:cs="Times New Roman"/>
          <w:b/>
          <w:i/>
          <w:sz w:val="24"/>
          <w:szCs w:val="24"/>
        </w:rPr>
        <w:t>Đăng ký thông tin sử dụng hóa đơn điện tử trên mẫu 01/ĐKTĐ-HĐĐT Phụ lục IA ban hành kèm theo Nghị định số 123/2020/NĐ-CP</w:t>
      </w:r>
    </w:p>
    <w:p w:rsidR="00CD0B48" w:rsidRDefault="005F7376">
      <w:pPr>
        <w:widowControl w:val="0"/>
        <w:spacing w:after="0" w:line="240" w:lineRule="auto"/>
        <w:ind w:firstLine="426"/>
        <w:jc w:val="both"/>
        <w:rPr>
          <w:rFonts w:ascii="Times New Roman" w:hAnsi="Times New Roman" w:cs="Times New Roman"/>
          <w:bCs/>
          <w:iCs/>
          <w:sz w:val="24"/>
          <w:szCs w:val="24"/>
        </w:rPr>
      </w:pPr>
      <w:r>
        <w:rPr>
          <w:rFonts w:ascii="Times New Roman" w:hAnsi="Times New Roman" w:cs="Times New Roman"/>
          <w:b/>
          <w:i/>
          <w:sz w:val="24"/>
          <w:szCs w:val="24"/>
        </w:rPr>
        <w:t xml:space="preserve">Bước 1: </w:t>
      </w:r>
      <w:r>
        <w:rPr>
          <w:rFonts w:ascii="Times New Roman" w:hAnsi="Times New Roman" w:cs="Times New Roman"/>
          <w:bCs/>
          <w:iCs/>
          <w:sz w:val="24"/>
          <w:szCs w:val="24"/>
        </w:rPr>
        <w:t>Truy cập vào Cổng thông tin điện tử Tổng cục thuế tại gdt.gov.vn và điền các thông tin tại Tờ khai đăng ký sử dụng hóa đơn điện tử bao gồm: tên người nộp thuế, mã số thuế, cơ quan thuế quản lý, người liên hệ, địa chỉ liên hệ, điện thoại liên hệ, thư liên hệ.</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Bold" w:hAnsi="Times New Roman Bold" w:cs="Times New Roman"/>
          <w:b/>
          <w:i/>
          <w:spacing w:val="-4"/>
          <w:sz w:val="24"/>
          <w:szCs w:val="24"/>
        </w:rPr>
        <w:t xml:space="preserve">Bước 2: Tích lựa chọn hình thức hóa đơn có mã hoặc không có mã </w:t>
      </w:r>
      <w:r>
        <w:rPr>
          <w:rFonts w:ascii="Times New Roman" w:hAnsi="Times New Roman" w:cs="Times New Roman"/>
          <w:bCs/>
          <w:i/>
          <w:sz w:val="24"/>
          <w:szCs w:val="24"/>
        </w:rPr>
        <w:t>(chỉ tiêu 1)</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 Có mã của cơ quan thuế</w:t>
      </w:r>
    </w:p>
    <w:p w:rsidR="00CD0B48" w:rsidRDefault="005F7376">
      <w:pPr>
        <w:widowControl w:val="0"/>
        <w:spacing w:after="0" w:line="240" w:lineRule="auto"/>
        <w:ind w:firstLine="426"/>
        <w:contextualSpacing/>
        <w:jc w:val="both"/>
        <w:rPr>
          <w:rFonts w:ascii="Times New Roman" w:hAnsi="Times New Roman" w:cs="Times New Roman"/>
          <w:bCs/>
          <w:iCs/>
          <w:sz w:val="24"/>
          <w:szCs w:val="24"/>
        </w:rPr>
      </w:pPr>
      <w:r>
        <w:rPr>
          <w:rFonts w:ascii="Times New Roman" w:hAnsi="Times New Roman" w:cs="Times New Roman"/>
          <w:sz w:val="24"/>
          <w:szCs w:val="24"/>
        </w:rPr>
        <w:sym w:font="Wingdings" w:char="F0FC"/>
      </w:r>
      <w:r>
        <w:rPr>
          <w:rFonts w:ascii="Times New Roman" w:hAnsi="Times New Roman" w:cs="Times New Roman"/>
          <w:bCs/>
          <w:iCs/>
          <w:sz w:val="24"/>
          <w:szCs w:val="24"/>
        </w:rPr>
        <w:t xml:space="preserve"> Không có mã của cơ quan thuế.</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3: Tích lựa chọn Hình thức gửi dữ liệu hóa đơn điện tử:</w:t>
      </w:r>
      <w:r>
        <w:rPr>
          <w:rFonts w:ascii="Times New Roman" w:hAnsi="Times New Roman" w:cs="Times New Roman"/>
          <w:bCs/>
          <w:i/>
          <w:sz w:val="24"/>
          <w:szCs w:val="24"/>
        </w:rPr>
        <w:t xml:space="preserve"> (chỉ tiêu 2)</w:t>
      </w:r>
    </w:p>
    <w:p w:rsidR="00CD0B48" w:rsidRDefault="005F7376">
      <w:pPr>
        <w:widowControl w:val="0"/>
        <w:spacing w:after="0" w:line="240" w:lineRule="auto"/>
        <w:ind w:firstLine="426"/>
        <w:contextualSpacing/>
        <w:jc w:val="both"/>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 xml:space="preserve"> Chuyển dữ liệu hóa đơn điện tử trực tiếp đến cơ quan thuế </w:t>
      </w:r>
    </w:p>
    <w:p w:rsidR="00CD0B48" w:rsidRDefault="005F7376">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Chỉ tích vào ô trên khi đáp ứng các yêu cầu sau:</w:t>
      </w:r>
    </w:p>
    <w:p w:rsidR="00CD0B48" w:rsidRDefault="005F7376">
      <w:pPr>
        <w:spacing w:after="0"/>
        <w:ind w:firstLine="567"/>
        <w:contextualSpacing/>
        <w:jc w:val="both"/>
        <w:rPr>
          <w:rFonts w:ascii="Times New Roman" w:hAnsi="Times New Roman" w:cs="Times New Roman"/>
          <w:i/>
          <w:sz w:val="24"/>
          <w:szCs w:val="24"/>
        </w:rPr>
      </w:pPr>
      <w:r>
        <w:rPr>
          <w:rFonts w:ascii="Times New Roman" w:hAnsi="Times New Roman" w:cs="Times New Roman"/>
          <w:i/>
          <w:sz w:val="24"/>
          <w:szCs w:val="24"/>
        </w:rPr>
        <w:t>a) Kết nối với Tổng cục Thuế thông qua kênh thuê riêng hoặc kênh MPLS VPN Layer 3, gồm 1 kênh truyền chính và 1 kênh truyền dự phòng. Mỗi kênh truyền có băng thông tối thiểu 5 Mbps.</w:t>
      </w:r>
    </w:p>
    <w:p w:rsidR="00CD0B48" w:rsidRDefault="005F7376">
      <w:pPr>
        <w:spacing w:after="0"/>
        <w:ind w:firstLine="567"/>
        <w:contextualSpacing/>
        <w:jc w:val="both"/>
        <w:rPr>
          <w:rFonts w:ascii="Times New Roman" w:hAnsi="Times New Roman" w:cs="Times New Roman"/>
          <w:i/>
          <w:spacing w:val="-6"/>
          <w:sz w:val="24"/>
          <w:szCs w:val="24"/>
        </w:rPr>
      </w:pPr>
      <w:r>
        <w:rPr>
          <w:rFonts w:ascii="Times New Roman" w:hAnsi="Times New Roman" w:cs="Times New Roman"/>
          <w:i/>
          <w:spacing w:val="-6"/>
          <w:sz w:val="24"/>
          <w:szCs w:val="24"/>
        </w:rPr>
        <w:t>b) Sử dụng dịch vụ Web (Web Service) hoặc Message Queue (MQ) có mã hóa làm phương thức để kết nối.</w:t>
      </w:r>
    </w:p>
    <w:p w:rsidR="00CD0B48" w:rsidRDefault="005F7376">
      <w:pPr>
        <w:spacing w:after="0"/>
        <w:ind w:firstLine="567"/>
        <w:contextualSpacing/>
        <w:jc w:val="both"/>
        <w:rPr>
          <w:rFonts w:ascii="Times New Roman" w:hAnsi="Times New Roman" w:cs="Times New Roman"/>
          <w:i/>
          <w:sz w:val="24"/>
          <w:szCs w:val="24"/>
        </w:rPr>
      </w:pPr>
      <w:r>
        <w:rPr>
          <w:rFonts w:ascii="Times New Roman" w:hAnsi="Times New Roman" w:cs="Times New Roman"/>
          <w:i/>
          <w:sz w:val="24"/>
          <w:szCs w:val="24"/>
        </w:rPr>
        <w:t>c) Sử dụng giao thức SOAP để đóng gói và truyền nhận dữ liệu.</w:t>
      </w:r>
    </w:p>
    <w:p w:rsidR="00CD0B48" w:rsidRDefault="005F7376">
      <w:pPr>
        <w:spacing w:after="0"/>
        <w:ind w:firstLine="567"/>
        <w:contextualSpacing/>
        <w:jc w:val="both"/>
        <w:rPr>
          <w:rFonts w:ascii="Times New Roman" w:hAnsi="Times New Roman" w:cs="Times New Roman"/>
          <w:sz w:val="24"/>
          <w:szCs w:val="24"/>
        </w:rPr>
      </w:pPr>
      <w:r>
        <w:rPr>
          <w:rFonts w:ascii="Times New Roman" w:hAnsi="Times New Roman" w:cs="Times New Roman"/>
          <w:i/>
          <w:iCs/>
          <w:sz w:val="24"/>
          <w:szCs w:val="24"/>
        </w:rPr>
        <w:t>(Điểm b1, khoản 3, Điều 22 của Nghị định).</w:t>
      </w:r>
    </w:p>
    <w:p w:rsidR="00CD0B48" w:rsidRDefault="005F7376">
      <w:pPr>
        <w:widowControl w:val="0"/>
        <w:spacing w:after="0" w:line="240" w:lineRule="auto"/>
        <w:ind w:firstLine="426"/>
        <w:contextualSpacing/>
        <w:jc w:val="both"/>
        <w:rPr>
          <w:rFonts w:ascii="Times New Roman Bold" w:hAnsi="Times New Roman Bold" w:cs="Times New Roman"/>
          <w:b/>
          <w:bCs/>
          <w:i/>
          <w:iCs/>
          <w:spacing w:val="-4"/>
          <w:sz w:val="24"/>
          <w:szCs w:val="24"/>
        </w:rPr>
      </w:pPr>
      <w:r>
        <w:rPr>
          <w:rFonts w:ascii="Times New Roman Bold" w:hAnsi="Times New Roman Bold" w:cs="Times New Roman"/>
          <w:b/>
          <w:bCs/>
          <w:spacing w:val="-4"/>
          <w:sz w:val="24"/>
          <w:szCs w:val="24"/>
        </w:rPr>
        <w:t xml:space="preserve">□ </w:t>
      </w:r>
      <w:r>
        <w:rPr>
          <w:rFonts w:ascii="Times New Roman Bold" w:hAnsi="Times New Roman Bold" w:cs="Times New Roman"/>
          <w:b/>
          <w:bCs/>
          <w:i/>
          <w:iCs/>
          <w:spacing w:val="-4"/>
          <w:sz w:val="24"/>
          <w:szCs w:val="24"/>
        </w:rPr>
        <w:t xml:space="preserve">Thông qua tổ chức cung cấp dịch vụ hóa đơn điện tử </w:t>
      </w:r>
    </w:p>
    <w:p w:rsidR="00CD0B48" w:rsidRDefault="005F7376">
      <w:pPr>
        <w:widowControl w:val="0"/>
        <w:spacing w:after="0"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Các doanh nghiệp không thuộc các trường hợp chuyển dữ liệu HĐĐT trực tiếp đến cơ quan thuế thì tích vào ô trên để lựa chọn gửi dữ liệu HĐĐT thông qua tổ chức cung cấp dịch vụ hóa đơn điện tử.</w:t>
      </w:r>
    </w:p>
    <w:p w:rsidR="00CD0B48" w:rsidRDefault="005F7376">
      <w:pPr>
        <w:widowControl w:val="0"/>
        <w:spacing w:after="0" w:line="240" w:lineRule="auto"/>
        <w:ind w:firstLine="426"/>
        <w:contextualSpacing/>
        <w:jc w:val="both"/>
        <w:rPr>
          <w:rFonts w:ascii="Times New Roman" w:hAnsi="Times New Roman" w:cs="Times New Roman"/>
          <w:i/>
          <w:iCs/>
          <w:sz w:val="24"/>
          <w:szCs w:val="24"/>
        </w:rPr>
      </w:pPr>
      <w:r>
        <w:rPr>
          <w:rFonts w:ascii="Times New Roman" w:hAnsi="Times New Roman" w:cs="Times New Roman"/>
          <w:i/>
          <w:iCs/>
          <w:sz w:val="24"/>
          <w:szCs w:val="24"/>
        </w:rPr>
        <w:t>(Điểm b2, khoản 3, Điều 22 của NĐ 123).</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4: Lựa chọn phương thức chuyển dữ liệu hóa đơn điện tử áp dụng hóa đơn điện tử không có mã của cơ quan thuế </w:t>
      </w:r>
      <w:r>
        <w:rPr>
          <w:rFonts w:ascii="Times New Roman" w:hAnsi="Times New Roman" w:cs="Times New Roman"/>
          <w:bCs/>
          <w:i/>
          <w:sz w:val="24"/>
          <w:szCs w:val="24"/>
        </w:rPr>
        <w:t>(chỉ tiêu 3)</w:t>
      </w:r>
    </w:p>
    <w:p w:rsidR="00CD0B48" w:rsidRDefault="005F7376">
      <w:pPr>
        <w:spacing w:after="0"/>
        <w:ind w:firstLine="426"/>
        <w:contextualSpacing/>
        <w:rPr>
          <w:rFonts w:ascii="Times New Roman" w:hAnsi="Times New Roman" w:cs="Times New Roman"/>
          <w:b/>
          <w:i/>
          <w:sz w:val="24"/>
          <w:szCs w:val="24"/>
        </w:rPr>
      </w:pPr>
      <w:r>
        <w:rPr>
          <w:rFonts w:ascii="Times New Roman Bold" w:hAnsi="Times New Roman Bold" w:cs="Times New Roman"/>
          <w:b/>
          <w:bCs/>
          <w:spacing w:val="-4"/>
          <w:sz w:val="24"/>
          <w:szCs w:val="24"/>
        </w:rPr>
        <w:t xml:space="preserve">□ </w:t>
      </w:r>
      <w:r>
        <w:rPr>
          <w:rFonts w:ascii="Times New Roman" w:hAnsi="Times New Roman" w:cs="Times New Roman"/>
          <w:b/>
          <w:i/>
          <w:sz w:val="24"/>
          <w:szCs w:val="24"/>
        </w:rPr>
        <w:t>Chuyển đầy đủ nội dung từng hóa đơn.</w:t>
      </w:r>
    </w:p>
    <w:p w:rsidR="00CD0B48" w:rsidRDefault="005F7376">
      <w:pPr>
        <w:pStyle w:val="ListParagraph"/>
        <w:spacing w:after="0"/>
        <w:ind w:left="0" w:firstLine="567"/>
        <w:rPr>
          <w:rFonts w:ascii="Times New Roman" w:hAnsi="Times New Roman" w:cs="Times New Roman"/>
          <w:sz w:val="24"/>
          <w:szCs w:val="24"/>
        </w:rPr>
      </w:pPr>
      <w:r>
        <w:rPr>
          <w:rFonts w:ascii="Times New Roman" w:hAnsi="Times New Roman" w:cs="Times New Roman"/>
          <w:sz w:val="24"/>
          <w:szCs w:val="24"/>
        </w:rPr>
        <w:t>Đối với các doanh nghiệp không thuộc trường hợp chuyển dữ liêu theo bảng tổng hợp thì tích vào ô trên để lựa chọn chuyển đầy đủ nội dung từng hóa đơn.</w:t>
      </w:r>
    </w:p>
    <w:p w:rsidR="00CD0B48" w:rsidRDefault="005F7376">
      <w:pPr>
        <w:spacing w:after="0"/>
        <w:ind w:firstLine="426"/>
        <w:contextualSpacing/>
        <w:jc w:val="both"/>
        <w:rPr>
          <w:rFonts w:ascii="Times New Roman" w:hAnsi="Times New Roman" w:cs="Times New Roman"/>
          <w:b/>
          <w:i/>
          <w:sz w:val="24"/>
          <w:szCs w:val="24"/>
          <w:lang w:val="vi-VN"/>
        </w:rPr>
      </w:pPr>
      <w:r>
        <w:rPr>
          <w:rFonts w:ascii="Times New Roman Bold" w:hAnsi="Times New Roman Bold" w:cs="Times New Roman"/>
          <w:b/>
          <w:bCs/>
          <w:spacing w:val="-4"/>
          <w:sz w:val="24"/>
          <w:szCs w:val="24"/>
        </w:rPr>
        <w:t xml:space="preserve">□ </w:t>
      </w:r>
      <w:r>
        <w:rPr>
          <w:rFonts w:ascii="Times New Roman" w:hAnsi="Times New Roman" w:cs="Times New Roman"/>
          <w:b/>
          <w:i/>
          <w:sz w:val="24"/>
          <w:szCs w:val="24"/>
        </w:rPr>
        <w:t xml:space="preserve">Chuyển theo bảng tổng hợp dữ liệu hóa đơn điện tử theo Mẫu số 01/TH-HĐĐT Phụ lục IA </w:t>
      </w:r>
      <w:r>
        <w:rPr>
          <w:rFonts w:ascii="Times New Roman" w:hAnsi="Times New Roman" w:cs="Times New Roman"/>
          <w:bCs/>
          <w:iCs/>
          <w:sz w:val="24"/>
          <w:szCs w:val="24"/>
        </w:rPr>
        <w:t>chỉ</w:t>
      </w:r>
      <w:r>
        <w:rPr>
          <w:rFonts w:ascii="Times New Roman" w:hAnsi="Times New Roman" w:cs="Times New Roman"/>
          <w:b/>
          <w:i/>
          <w:sz w:val="24"/>
          <w:szCs w:val="24"/>
        </w:rPr>
        <w:t xml:space="preserve"> </w:t>
      </w:r>
      <w:r>
        <w:rPr>
          <w:rFonts w:ascii="Times New Roman" w:hAnsi="Times New Roman" w:cs="Times New Roman"/>
          <w:sz w:val="24"/>
          <w:szCs w:val="24"/>
          <w:lang w:val="vi-VN"/>
        </w:rPr>
        <w:t>áp dụng đối với các trường hợp sau:</w:t>
      </w:r>
    </w:p>
    <w:p w:rsidR="00CD0B48" w:rsidRDefault="005F7376">
      <w:pPr>
        <w:pStyle w:val="ListParagraph"/>
        <w:spacing w:after="0"/>
        <w:ind w:left="0" w:firstLine="567"/>
        <w:jc w:val="both"/>
        <w:rPr>
          <w:rFonts w:ascii="Times New Roman" w:hAnsi="Times New Roman" w:cs="Times New Roman"/>
          <w:sz w:val="24"/>
          <w:szCs w:val="24"/>
          <w:lang w:val="vi-VN"/>
        </w:rPr>
      </w:pPr>
      <w:r>
        <w:rPr>
          <w:rFonts w:ascii="Times New Roman" w:hAnsi="Times New Roman" w:cs="Times New Roman"/>
          <w:sz w:val="24"/>
          <w:szCs w:val="24"/>
        </w:rPr>
        <w:t>+</w:t>
      </w:r>
      <w:r>
        <w:rPr>
          <w:rFonts w:ascii="Times New Roman" w:hAnsi="Times New Roman" w:cs="Times New Roman"/>
          <w:sz w:val="24"/>
          <w:szCs w:val="24"/>
          <w:lang w:val="vi-VN"/>
        </w:rPr>
        <w:t xml:space="preserve"> Cung cấp dịch vụ thuộc lĩnh vực: bưu chính viễn thông, bảo hiểm, tài chính ngân hàng, vận tải hàng không, chứng khoán. </w:t>
      </w:r>
    </w:p>
    <w:p w:rsidR="00CD0B48" w:rsidRDefault="005F7376">
      <w:pPr>
        <w:pStyle w:val="ListParagraph"/>
        <w:spacing w:after="0"/>
        <w:ind w:left="0" w:firstLine="567"/>
        <w:jc w:val="both"/>
        <w:rPr>
          <w:rFonts w:ascii="Times New Roman" w:hAnsi="Times New Roman" w:cs="Times New Roman"/>
          <w:b/>
          <w:i/>
          <w:sz w:val="24"/>
          <w:szCs w:val="24"/>
        </w:rPr>
      </w:pPr>
      <w:r>
        <w:rPr>
          <w:rFonts w:ascii="Times New Roman" w:hAnsi="Times New Roman" w:cs="Times New Roman"/>
          <w:sz w:val="24"/>
          <w:szCs w:val="24"/>
        </w:rPr>
        <w:t>+</w:t>
      </w:r>
      <w:r>
        <w:rPr>
          <w:rFonts w:ascii="Times New Roman" w:hAnsi="Times New Roman" w:cs="Times New Roman"/>
          <w:sz w:val="24"/>
          <w:szCs w:val="24"/>
          <w:lang w:val="vi-VN"/>
        </w:rPr>
        <w:t xml:space="preserve"> Bán hàng hóa là điện, nước sạch nếu có thông tin về mã khách hàng hoặc </w:t>
      </w:r>
      <w:r>
        <w:rPr>
          <w:rFonts w:ascii="Times New Roman" w:hAnsi="Times New Roman" w:cs="Times New Roman"/>
          <w:sz w:val="24"/>
          <w:szCs w:val="24"/>
        </w:rPr>
        <w:t>MST</w:t>
      </w:r>
      <w:r>
        <w:rPr>
          <w:rFonts w:ascii="Times New Roman" w:hAnsi="Times New Roman" w:cs="Times New Roman"/>
          <w:sz w:val="24"/>
          <w:szCs w:val="24"/>
          <w:lang w:val="vi-VN"/>
        </w:rPr>
        <w:t xml:space="preserve"> của khách hàng.</w:t>
      </w:r>
      <w:r>
        <w:rPr>
          <w:rFonts w:ascii="Times New Roman" w:hAnsi="Times New Roman" w:cs="Times New Roman"/>
          <w:b/>
          <w:i/>
          <w:sz w:val="24"/>
          <w:szCs w:val="24"/>
        </w:rPr>
        <w:t xml:space="preserve"> </w:t>
      </w:r>
    </w:p>
    <w:p w:rsidR="00CD0B48" w:rsidRDefault="005F7376">
      <w:pPr>
        <w:pStyle w:val="ListParagraph"/>
        <w:spacing w:after="0"/>
        <w:ind w:left="0" w:firstLine="567"/>
        <w:jc w:val="both"/>
        <w:rPr>
          <w:rFonts w:ascii="Times New Roman" w:hAnsi="Times New Roman" w:cs="Times New Roman"/>
          <w:bCs/>
          <w:sz w:val="24"/>
          <w:szCs w:val="24"/>
          <w:lang w:val="vi-VN"/>
        </w:rPr>
      </w:pPr>
      <w:r>
        <w:rPr>
          <w:rFonts w:ascii="Times New Roman" w:hAnsi="Times New Roman" w:cs="Times New Roman"/>
          <w:bCs/>
          <w:i/>
          <w:sz w:val="24"/>
          <w:szCs w:val="24"/>
        </w:rPr>
        <w:t>(Điểm a1, khoản 3, Điều 22 của Nghị định)</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Bước 5: Lựa chọn loại hóa đơn sử dụng </w:t>
      </w:r>
      <w:r>
        <w:rPr>
          <w:rFonts w:ascii="Times New Roman" w:hAnsi="Times New Roman" w:cs="Times New Roman"/>
          <w:bCs/>
          <w:i/>
          <w:sz w:val="24"/>
          <w:szCs w:val="24"/>
        </w:rPr>
        <w:t>(chỉ tiêu 4)</w:t>
      </w:r>
    </w:p>
    <w:p w:rsidR="00CD0B48" w:rsidRDefault="005F7376">
      <w:pPr>
        <w:spacing w:after="0"/>
        <w:ind w:firstLine="426"/>
        <w:contextualSpacing/>
        <w:rPr>
          <w:rFonts w:ascii="Times New Roman" w:hAnsi="Times New Roman" w:cs="Times New Roman"/>
          <w:sz w:val="24"/>
          <w:szCs w:val="24"/>
        </w:rPr>
      </w:pPr>
      <w:r>
        <w:rPr>
          <w:rFonts w:ascii="Times New Roman" w:hAnsi="Times New Roman" w:cs="Times New Roman"/>
          <w:sz w:val="24"/>
          <w:szCs w:val="24"/>
        </w:rPr>
        <w:t>Doanh nghiệp căn cứ phương pháp kê khai của đơn vị (kê khai theo phương pháp khấu trừ, kê khai theo phương pháp trực tiếp,…) để lựa chọn loại hóa đơn cần sử dụng:</w:t>
      </w:r>
    </w:p>
    <w:p w:rsidR="00CD0B48" w:rsidRDefault="005F7376">
      <w:pPr>
        <w:spacing w:after="0"/>
        <w:ind w:firstLine="426"/>
        <w:contextualSpacing/>
        <w:rPr>
          <w:rFonts w:ascii="Times New Roman" w:hAnsi="Times New Roman" w:cs="Times New Roman"/>
          <w:bCs/>
          <w:i/>
          <w:sz w:val="24"/>
          <w:szCs w:val="24"/>
        </w:rPr>
      </w:pPr>
      <w:r>
        <w:rPr>
          <w:rFonts w:ascii="Times New Roman" w:hAnsi="Times New Roman" w:cs="Times New Roman"/>
          <w:bCs/>
          <w:i/>
          <w:sz w:val="24"/>
          <w:szCs w:val="24"/>
        </w:rPr>
        <w:t>□ Hóa đơn GTGT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Hóa đơn bán hàng</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tài sản công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xml:space="preserve">□ Hóa đơn bán hàng dự trữ quốc gia </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Cs/>
          <w:i/>
          <w:sz w:val="24"/>
          <w:szCs w:val="24"/>
        </w:rPr>
        <w:t>□ Các loại hóa đơn khác</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Cs/>
          <w:i/>
          <w:sz w:val="24"/>
          <w:szCs w:val="24"/>
        </w:rPr>
        <w:t>□ Các chứng từ được in, phát hành, sử dụng và quản lý như hóa đơn</w:t>
      </w:r>
      <w:r>
        <w:rPr>
          <w:rFonts w:ascii="Times New Roman" w:hAnsi="Times New Roman" w:cs="Times New Roman"/>
          <w:b/>
          <w:i/>
          <w:sz w:val="24"/>
          <w:szCs w:val="24"/>
        </w:rPr>
        <w: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lastRenderedPageBreak/>
        <w:t xml:space="preserve">Bước 6: Điền các danh sách chứng thư số sử dụng </w:t>
      </w:r>
      <w:r>
        <w:rPr>
          <w:rFonts w:ascii="Times New Roman" w:hAnsi="Times New Roman" w:cs="Times New Roman"/>
          <w:bCs/>
          <w:i/>
          <w:sz w:val="24"/>
          <w:szCs w:val="24"/>
        </w:rPr>
        <w:t>(chỉ tiêu 5: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Cs/>
          <w:i/>
          <w:sz w:val="24"/>
          <w:szCs w:val="24"/>
        </w:rPr>
      </w:pPr>
      <w:r>
        <w:rPr>
          <w:rFonts w:ascii="Times New Roman" w:hAnsi="Times New Roman" w:cs="Times New Roman"/>
          <w:b/>
          <w:i/>
          <w:sz w:val="24"/>
          <w:szCs w:val="24"/>
        </w:rPr>
        <w:t>Bước 7: Đăng ký ủy nhiệm lập hóa đơn (nếu có)</w:t>
      </w:r>
      <w:r>
        <w:rPr>
          <w:rFonts w:ascii="Times New Roman" w:hAnsi="Times New Roman" w:cs="Times New Roman"/>
          <w:bCs/>
          <w:i/>
          <w:sz w:val="24"/>
          <w:szCs w:val="24"/>
        </w:rPr>
        <w:t xml:space="preserve"> (chỉ tiêu 6: chỉ kê khai đối với trường hợp có ủy nhiệm hoặc nhận ủy nhiệm lập HĐĐT)</w:t>
      </w:r>
    </w:p>
    <w:p w:rsidR="00CD0B48" w:rsidRDefault="005F7376">
      <w:pPr>
        <w:widowControl w:val="0"/>
        <w:spacing w:after="0" w:line="240" w:lineRule="auto"/>
        <w:ind w:firstLine="426"/>
        <w:contextualSpacing/>
        <w:jc w:val="both"/>
        <w:rPr>
          <w:rFonts w:ascii="Times New Roman" w:hAnsi="Times New Roman" w:cs="Times New Roman"/>
          <w:b/>
          <w:i/>
          <w:sz w:val="24"/>
          <w:szCs w:val="24"/>
        </w:rPr>
      </w:pPr>
      <w:r>
        <w:rPr>
          <w:rFonts w:ascii="Times New Roman" w:hAnsi="Times New Roman" w:cs="Times New Roman"/>
          <w:b/>
          <w:i/>
          <w:sz w:val="24"/>
          <w:szCs w:val="24"/>
        </w:rPr>
        <w:t>Bước 8: Điền đầy đủ ngày tháng năm và ký tên người nộp thuế.</w:t>
      </w:r>
    </w:p>
    <w:p w:rsidR="00CD0B48" w:rsidRDefault="005F7376">
      <w:pPr>
        <w:spacing w:after="0"/>
        <w:ind w:firstLine="567"/>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IV. Nơi tiếp nhận mẫu đăng ký thông tin sử dụng hóa đơn điện tử</w:t>
      </w:r>
    </w:p>
    <w:p w:rsidR="00CD0B48" w:rsidRDefault="005F7376">
      <w:pPr>
        <w:spacing w:after="0"/>
        <w:ind w:firstLine="567"/>
        <w:contextualSpacing/>
        <w:jc w:val="center"/>
        <w:rPr>
          <w:rFonts w:ascii="Times New Roman" w:hAnsi="Times New Roman" w:cs="Times New Roman"/>
          <w:b/>
          <w:iCs/>
          <w:color w:val="000000" w:themeColor="text1"/>
          <w:sz w:val="28"/>
          <w:szCs w:val="28"/>
        </w:rPr>
      </w:pPr>
      <w:r>
        <w:rPr>
          <w:rFonts w:ascii="Times New Roman" w:hAnsi="Times New Roman" w:cs="Times New Roman"/>
          <w:b/>
          <w:iCs/>
          <w:color w:val="000000" w:themeColor="text1"/>
          <w:sz w:val="28"/>
          <w:szCs w:val="28"/>
        </w:rPr>
        <w:t>(Mẫu số 01/ĐKTĐ-HĐĐT)</w:t>
      </w:r>
    </w:p>
    <w:p w:rsidR="00CD0B48" w:rsidRDefault="005F7376">
      <w:pPr>
        <w:widowControl w:val="0"/>
        <w:spacing w:after="0"/>
        <w:ind w:firstLine="709"/>
        <w:jc w:val="both"/>
        <w:rPr>
          <w:rFonts w:ascii="Times New Roman" w:eastAsia="Calibri" w:hAnsi="Times New Roman" w:cs="Times New Roman"/>
          <w:sz w:val="24"/>
          <w:szCs w:val="24"/>
          <w:lang w:val="vi-VN"/>
        </w:rPr>
      </w:pPr>
      <w:r>
        <w:rPr>
          <w:rFonts w:ascii="Times New Roman" w:hAnsi="Times New Roman" w:cs="Times New Roman"/>
          <w:b/>
          <w:iCs/>
          <w:color w:val="000000" w:themeColor="text1"/>
          <w:sz w:val="24"/>
          <w:szCs w:val="24"/>
        </w:rPr>
        <w:t xml:space="preserve">- </w:t>
      </w:r>
      <w:r>
        <w:rPr>
          <w:rFonts w:ascii="Times New Roman" w:eastAsia="Calibri" w:hAnsi="Times New Roman" w:cs="Times New Roman"/>
          <w:sz w:val="24"/>
          <w:szCs w:val="24"/>
          <w:lang w:val="vi-VN"/>
        </w:rPr>
        <w:t>Doanh nghiệp, tổ chức kinh tế, tổ chức khác, hộ cá nhân kinh doanh đăng ký thông tin sử dụng hóa đơn điện tử trên mẫu 01/ĐKTĐ-HĐĐT Phụ lục IA ban hành kèm theo Nghị định số 123/2020/NĐ-CP và gửi đến cơ quan Thuế thông qua tổ chức cung cấp dịch vụ hóa đơn điện tử.</w:t>
      </w:r>
    </w:p>
    <w:p w:rsidR="00CD0B48" w:rsidRDefault="005F7376">
      <w:pPr>
        <w:widowControl w:val="0"/>
        <w:spacing w:after="0"/>
        <w:jc w:val="both"/>
        <w:rPr>
          <w:rFonts w:ascii="Times New Roman" w:eastAsia="Calibri" w:hAnsi="Times New Roman" w:cs="Times New Roman"/>
          <w:i/>
          <w:sz w:val="24"/>
          <w:szCs w:val="24"/>
          <w:lang w:val="vi-VN"/>
        </w:rPr>
      </w:pPr>
      <w:r>
        <w:rPr>
          <w:rFonts w:ascii="Times New Roman" w:eastAsia="Calibri" w:hAnsi="Times New Roman" w:cs="Times New Roman"/>
          <w:b/>
          <w:i/>
          <w:sz w:val="24"/>
          <w:szCs w:val="24"/>
          <w:lang w:val="vi-VN"/>
        </w:rPr>
        <w:t>Lưu ý:</w:t>
      </w:r>
      <w:r>
        <w:rPr>
          <w:rFonts w:ascii="Times New Roman" w:eastAsia="Calibri" w:hAnsi="Times New Roman" w:cs="Times New Roman"/>
          <w:i/>
          <w:sz w:val="24"/>
          <w:szCs w:val="24"/>
          <w:lang w:val="vi-VN"/>
        </w:rPr>
        <w:t xml:space="preserve"> </w:t>
      </w:r>
    </w:p>
    <w:p w:rsidR="00CD0B48" w:rsidRDefault="005F7376">
      <w:pPr>
        <w:widowControl w:val="0"/>
        <w:spacing w:after="0"/>
        <w:ind w:firstLine="567"/>
        <w:jc w:val="both"/>
        <w:rPr>
          <w:rFonts w:ascii="Times New Roman" w:eastAsia="Calibri" w:hAnsi="Times New Roman" w:cs="Times New Roman"/>
          <w:sz w:val="24"/>
          <w:szCs w:val="24"/>
          <w:u w:val="single"/>
          <w:lang w:val="vi-VN"/>
        </w:rPr>
      </w:pPr>
      <w:r>
        <w:rPr>
          <w:rFonts w:ascii="Times New Roman" w:eastAsia="Calibri" w:hAnsi="Times New Roman" w:cs="Times New Roman"/>
          <w:sz w:val="24"/>
          <w:szCs w:val="24"/>
          <w:lang w:val="vi-VN"/>
        </w:rPr>
        <w:t>- Trường hợp sử dụng hóa đơn điện tử có mã của cơ quan thuế không phải trả tiền dịch vụ thì có thể đăng ký sử dụng hóa đơn điện tử thông qua Cổng thông tin điện tử của Tổng cục Thuế hoặc tổ chức cung cấp dịch vụ hóa đơn điện tử được Tổng cục Thuế ủy thác.</w:t>
      </w:r>
    </w:p>
    <w:p w:rsidR="00CD0B48" w:rsidRDefault="005F7376">
      <w:pPr>
        <w:widowControl w:val="0"/>
        <w:spacing w:after="0"/>
        <w:ind w:firstLine="567"/>
        <w:jc w:val="both"/>
        <w:rPr>
          <w:rFonts w:ascii="Times New Roman" w:eastAsia="Calibri" w:hAnsi="Times New Roman" w:cs="Times New Roman"/>
          <w:spacing w:val="-4"/>
          <w:sz w:val="24"/>
          <w:szCs w:val="24"/>
          <w:lang w:val="vi-VN"/>
        </w:rPr>
      </w:pPr>
      <w:r>
        <w:rPr>
          <w:rFonts w:ascii="Times New Roman" w:eastAsia="Calibri" w:hAnsi="Times New Roman" w:cs="Times New Roman"/>
          <w:spacing w:val="-4"/>
          <w:sz w:val="24"/>
          <w:szCs w:val="24"/>
          <w:lang w:val="vi-VN"/>
        </w:rPr>
        <w:t>- Trường hợp doanh nghiệp là tổ chức kết nối chuyển dữ liệu hóa đơn điện tử theo hình thức gửi trực tiếp đến cơ quan thuế thì đăng ký sử dụng hóa đơn điện tử thông qua Cổng thông tin điện tử của Tổng cục Thuế.</w:t>
      </w:r>
    </w:p>
    <w:p w:rsidR="00CD0B48" w:rsidRDefault="00CD0B48">
      <w:pPr>
        <w:spacing w:after="0"/>
        <w:contextualSpacing/>
        <w:jc w:val="both"/>
        <w:rPr>
          <w:rFonts w:ascii="Times New Roman" w:hAnsi="Times New Roman" w:cs="Times New Roman"/>
          <w:b/>
          <w:iCs/>
          <w:color w:val="000000" w:themeColor="text1"/>
          <w:sz w:val="24"/>
          <w:szCs w:val="24"/>
        </w:rPr>
      </w:pPr>
    </w:p>
    <w:p w:rsidR="00CD0B48" w:rsidRDefault="005F7376">
      <w:pPr>
        <w:spacing w:after="0"/>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V. Hủy các hóa đơn đã thông báo phát hành trước đây.</w:t>
      </w:r>
    </w:p>
    <w:p w:rsidR="00CD0B48" w:rsidRDefault="005F7376">
      <w:pPr>
        <w:spacing w:after="0"/>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Kể từ thời điểm cơ quan thuế chấp nhận đăng ký sử dụng hóa đơn điện tử (trong thời gian 01 ngày làm việc kể từ ngày nhận được đăng ký sử dụng hóa đơn điện tử), doanh nghiệp, tổ chức kinh tế, tổ chức khác, hộ, cá nhân kinh doanh phải ngừng sử dụng hóa đơn điện tử đã thông báo phát hành theo các quy định trước đây, tiêu hủy hóa đơn giấy đã thông báo phát hành nhưng chưa sử dụng (nếu có). </w:t>
      </w:r>
    </w:p>
    <w:p w:rsidR="00CD0B48" w:rsidRDefault="005F7376">
      <w:pPr>
        <w:spacing w:after="0"/>
        <w:contextualSpacing/>
        <w:rPr>
          <w:rFonts w:ascii="Times New Roman" w:hAnsi="Times New Roman" w:cs="Times New Roman"/>
          <w:bCs/>
          <w:i/>
          <w:sz w:val="24"/>
          <w:szCs w:val="24"/>
        </w:rPr>
      </w:pPr>
      <w:r>
        <w:rPr>
          <w:rFonts w:ascii="Times New Roman" w:hAnsi="Times New Roman" w:cs="Times New Roman"/>
          <w:bCs/>
          <w:i/>
          <w:sz w:val="24"/>
          <w:szCs w:val="24"/>
        </w:rPr>
        <w:t>(Khoản 3 Điều 15 Nghị định số 123/2020/NĐ-CP)</w:t>
      </w:r>
    </w:p>
    <w:p w:rsidR="00CD0B48" w:rsidRDefault="00CD0B48">
      <w:pPr>
        <w:spacing w:before="360" w:after="0"/>
        <w:contextualSpacing/>
        <w:jc w:val="center"/>
        <w:rPr>
          <w:rFonts w:ascii="Times New Roman" w:hAnsi="Times New Roman" w:cs="Times New Roman"/>
          <w:b/>
          <w:iCs/>
          <w:color w:val="000000" w:themeColor="text1"/>
          <w:sz w:val="28"/>
          <w:szCs w:val="26"/>
        </w:rPr>
      </w:pPr>
    </w:p>
    <w:p w:rsidR="00CD0B48" w:rsidRDefault="005F7376">
      <w:pPr>
        <w:spacing w:before="360" w:after="0"/>
        <w:contextualSpacing/>
        <w:jc w:val="center"/>
        <w:rPr>
          <w:rFonts w:ascii="Times New Roman" w:hAnsi="Times New Roman" w:cs="Times New Roman"/>
          <w:b/>
          <w:iCs/>
          <w:color w:val="000000" w:themeColor="text1"/>
          <w:sz w:val="28"/>
          <w:szCs w:val="26"/>
        </w:rPr>
      </w:pPr>
      <w:r>
        <w:rPr>
          <w:rFonts w:ascii="Times New Roman" w:hAnsi="Times New Roman" w:cs="Times New Roman"/>
          <w:b/>
          <w:iCs/>
          <w:color w:val="000000" w:themeColor="text1"/>
          <w:sz w:val="28"/>
          <w:szCs w:val="26"/>
        </w:rPr>
        <w:t>VI. Trường hợp ủy nhiệm lập hóa đơn điện tử</w:t>
      </w:r>
    </w:p>
    <w:p w:rsidR="00CD0B48" w:rsidRDefault="005F7376">
      <w:pPr>
        <w:pStyle w:val="ListParagraph"/>
        <w:numPr>
          <w:ilvl w:val="0"/>
          <w:numId w:val="2"/>
        </w:numPr>
        <w:spacing w:after="0"/>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Bên ủy nhiệm và bên nhận ủy nhiệm phải có quan hệ liên kết và thuộc đối tượng đủ điều kiện sử dụng HĐĐT và không thuộc trường hợp ngừng sử dụng HĐĐT theo quy định.</w:t>
      </w:r>
    </w:p>
    <w:p w:rsidR="00CD0B48" w:rsidRDefault="005F7376">
      <w:pPr>
        <w:pStyle w:val="ListParagraph"/>
        <w:numPr>
          <w:ilvl w:val="0"/>
          <w:numId w:val="2"/>
        </w:numPr>
        <w:spacing w:after="0"/>
        <w:ind w:left="0" w:firstLine="567"/>
        <w:jc w:val="both"/>
        <w:rPr>
          <w:rFonts w:ascii="Times New Roman" w:hAnsi="Times New Roman" w:cs="Times New Roman"/>
          <w:bCs/>
          <w:iCs/>
          <w:sz w:val="24"/>
          <w:szCs w:val="24"/>
        </w:rPr>
      </w:pPr>
      <w:r>
        <w:rPr>
          <w:rFonts w:ascii="Times New Roman" w:hAnsi="Times New Roman" w:cs="Times New Roman"/>
          <w:bCs/>
          <w:iCs/>
          <w:sz w:val="24"/>
          <w:szCs w:val="24"/>
        </w:rPr>
        <w:t>Thủ tục thực hiện việc ủy nhiệm theo quy định tại Điều 3 Thông tư 78/TT-BTC.</w:t>
      </w:r>
    </w:p>
    <w:p w:rsidR="00CD0B48" w:rsidRDefault="00CD0B48">
      <w:pPr>
        <w:spacing w:after="0"/>
        <w:ind w:firstLine="567"/>
        <w:contextualSpacing/>
        <w:jc w:val="both"/>
        <w:rPr>
          <w:rFonts w:ascii="Times New Roman" w:hAnsi="Times New Roman" w:cs="Times New Roman"/>
          <w:bCs/>
          <w:iCs/>
          <w:sz w:val="24"/>
          <w:szCs w:val="24"/>
        </w:rPr>
      </w:pPr>
    </w:p>
    <w:p w:rsidR="00CD0B48" w:rsidRDefault="00CD0B48">
      <w:pPr>
        <w:spacing w:after="0"/>
        <w:contextualSpacing/>
      </w:pPr>
    </w:p>
    <w:sectPr w:rsidR="00CD0B48" w:rsidSect="00FA6E60">
      <w:headerReference w:type="default" r:id="rId8"/>
      <w:pgSz w:w="12240" w:h="15840"/>
      <w:pgMar w:top="964" w:right="851" w:bottom="1134"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69" w:rsidRDefault="00C37E69">
      <w:pPr>
        <w:spacing w:line="240" w:lineRule="auto"/>
      </w:pPr>
      <w:r>
        <w:separator/>
      </w:r>
    </w:p>
  </w:endnote>
  <w:endnote w:type="continuationSeparator" w:id="0">
    <w:p w:rsidR="00C37E69" w:rsidRDefault="00C37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69" w:rsidRDefault="00C37E69">
      <w:pPr>
        <w:spacing w:line="240" w:lineRule="auto"/>
      </w:pPr>
      <w:r>
        <w:separator/>
      </w:r>
    </w:p>
  </w:footnote>
  <w:footnote w:type="continuationSeparator" w:id="0">
    <w:p w:rsidR="00C37E69" w:rsidRDefault="00C37E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183861"/>
      <w:docPartObj>
        <w:docPartGallery w:val="Page Numbers (Top of Page)"/>
        <w:docPartUnique/>
      </w:docPartObj>
    </w:sdtPr>
    <w:sdtEndPr>
      <w:rPr>
        <w:rFonts w:ascii="Times New Roman" w:hAnsi="Times New Roman" w:cs="Times New Roman"/>
        <w:noProof/>
        <w:sz w:val="24"/>
        <w:szCs w:val="24"/>
      </w:rPr>
    </w:sdtEndPr>
    <w:sdtContent>
      <w:p w:rsidR="00201F6C" w:rsidRPr="00201F6C" w:rsidRDefault="00201F6C">
        <w:pPr>
          <w:pStyle w:val="Header"/>
          <w:jc w:val="center"/>
          <w:rPr>
            <w:rFonts w:ascii="Times New Roman" w:hAnsi="Times New Roman" w:cs="Times New Roman"/>
            <w:sz w:val="24"/>
            <w:szCs w:val="24"/>
          </w:rPr>
        </w:pPr>
        <w:r w:rsidRPr="00201F6C">
          <w:rPr>
            <w:rFonts w:ascii="Times New Roman" w:hAnsi="Times New Roman" w:cs="Times New Roman"/>
            <w:sz w:val="24"/>
            <w:szCs w:val="24"/>
          </w:rPr>
          <w:fldChar w:fldCharType="begin"/>
        </w:r>
        <w:r w:rsidRPr="00201F6C">
          <w:rPr>
            <w:rFonts w:ascii="Times New Roman" w:hAnsi="Times New Roman" w:cs="Times New Roman"/>
            <w:sz w:val="24"/>
            <w:szCs w:val="24"/>
          </w:rPr>
          <w:instrText xml:space="preserve"> PAGE   \* MERGEFORMAT </w:instrText>
        </w:r>
        <w:r w:rsidRPr="00201F6C">
          <w:rPr>
            <w:rFonts w:ascii="Times New Roman" w:hAnsi="Times New Roman" w:cs="Times New Roman"/>
            <w:sz w:val="24"/>
            <w:szCs w:val="24"/>
          </w:rPr>
          <w:fldChar w:fldCharType="separate"/>
        </w:r>
        <w:r w:rsidR="00FE601D">
          <w:rPr>
            <w:rFonts w:ascii="Times New Roman" w:hAnsi="Times New Roman" w:cs="Times New Roman"/>
            <w:noProof/>
            <w:sz w:val="24"/>
            <w:szCs w:val="24"/>
          </w:rPr>
          <w:t>4</w:t>
        </w:r>
        <w:r w:rsidRPr="00201F6C">
          <w:rPr>
            <w:rFonts w:ascii="Times New Roman" w:hAnsi="Times New Roman" w:cs="Times New Roman"/>
            <w:noProof/>
            <w:sz w:val="24"/>
            <w:szCs w:val="24"/>
          </w:rPr>
          <w:fldChar w:fldCharType="end"/>
        </w:r>
      </w:p>
    </w:sdtContent>
  </w:sdt>
  <w:p w:rsidR="00201F6C" w:rsidRDefault="0020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E72"/>
    <w:multiLevelType w:val="hybridMultilevel"/>
    <w:tmpl w:val="C14AAC04"/>
    <w:lvl w:ilvl="0" w:tplc="3C82C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4680C"/>
    <w:multiLevelType w:val="multilevel"/>
    <w:tmpl w:val="0974680C"/>
    <w:lvl w:ilvl="0">
      <w:start w:val="3"/>
      <w:numFmt w:val="bullet"/>
      <w:lvlText w:val="-"/>
      <w:lvlJc w:val="left"/>
      <w:pPr>
        <w:ind w:left="720" w:hanging="360"/>
      </w:pPr>
      <w:rPr>
        <w:rFonts w:ascii="Calibri" w:eastAsia="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B0602B"/>
    <w:multiLevelType w:val="multilevel"/>
    <w:tmpl w:val="5AB0602B"/>
    <w:lvl w:ilvl="0">
      <w:start w:val="1"/>
      <w:numFmt w:val="bullet"/>
      <w:lvlText w:val="-"/>
      <w:lvlJc w:val="left"/>
      <w:pPr>
        <w:ind w:left="720" w:hanging="360"/>
      </w:pPr>
      <w:rPr>
        <w:rFonts w:ascii="Times New Roman" w:eastAsiaTheme="minorHAns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E3"/>
    <w:rsid w:val="B9CF0CB2"/>
    <w:rsid w:val="00004E19"/>
    <w:rsid w:val="00015666"/>
    <w:rsid w:val="0002747C"/>
    <w:rsid w:val="00063EE5"/>
    <w:rsid w:val="0011244B"/>
    <w:rsid w:val="001642F3"/>
    <w:rsid w:val="001865B5"/>
    <w:rsid w:val="001C6419"/>
    <w:rsid w:val="00201F6C"/>
    <w:rsid w:val="002A67DB"/>
    <w:rsid w:val="002E07E5"/>
    <w:rsid w:val="00357006"/>
    <w:rsid w:val="00367220"/>
    <w:rsid w:val="00377E51"/>
    <w:rsid w:val="00397D1D"/>
    <w:rsid w:val="003D32E3"/>
    <w:rsid w:val="003F2552"/>
    <w:rsid w:val="004469D8"/>
    <w:rsid w:val="00447D28"/>
    <w:rsid w:val="00495CDA"/>
    <w:rsid w:val="00505E7C"/>
    <w:rsid w:val="00520E44"/>
    <w:rsid w:val="005F00D4"/>
    <w:rsid w:val="005F7376"/>
    <w:rsid w:val="006311F8"/>
    <w:rsid w:val="00671EEF"/>
    <w:rsid w:val="00676C60"/>
    <w:rsid w:val="00736E71"/>
    <w:rsid w:val="00762F21"/>
    <w:rsid w:val="007A0B00"/>
    <w:rsid w:val="007F1CFF"/>
    <w:rsid w:val="0080695C"/>
    <w:rsid w:val="00852790"/>
    <w:rsid w:val="0088090D"/>
    <w:rsid w:val="008E0D2A"/>
    <w:rsid w:val="00963F0C"/>
    <w:rsid w:val="009C3D9E"/>
    <w:rsid w:val="009F06EA"/>
    <w:rsid w:val="00A25A21"/>
    <w:rsid w:val="00A6226E"/>
    <w:rsid w:val="00AE2B92"/>
    <w:rsid w:val="00B0020C"/>
    <w:rsid w:val="00B42A0C"/>
    <w:rsid w:val="00B53120"/>
    <w:rsid w:val="00B96C7A"/>
    <w:rsid w:val="00C32FAF"/>
    <w:rsid w:val="00C37E69"/>
    <w:rsid w:val="00CD0B48"/>
    <w:rsid w:val="00CE13A8"/>
    <w:rsid w:val="00CF43D4"/>
    <w:rsid w:val="00D05419"/>
    <w:rsid w:val="00D12CA1"/>
    <w:rsid w:val="00D50F8B"/>
    <w:rsid w:val="00D94DE3"/>
    <w:rsid w:val="00D9722C"/>
    <w:rsid w:val="00E11426"/>
    <w:rsid w:val="00E11C44"/>
    <w:rsid w:val="00E77825"/>
    <w:rsid w:val="00F44713"/>
    <w:rsid w:val="00F77F2A"/>
    <w:rsid w:val="00FA6E60"/>
    <w:rsid w:val="00FE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4E7D151-7AC3-0C44-B0C5-BC611352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Header">
    <w:name w:val="header"/>
    <w:basedOn w:val="Normal"/>
    <w:link w:val="HeaderChar"/>
    <w:uiPriority w:val="99"/>
    <w:unhideWhenUsed/>
    <w:rsid w:val="00201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F6C"/>
    <w:rPr>
      <w:sz w:val="22"/>
      <w:szCs w:val="22"/>
      <w:lang w:val="en-US" w:eastAsia="en-US"/>
    </w:rPr>
  </w:style>
  <w:style w:type="paragraph" w:styleId="Footer">
    <w:name w:val="footer"/>
    <w:basedOn w:val="Normal"/>
    <w:link w:val="FooterChar"/>
    <w:uiPriority w:val="99"/>
    <w:unhideWhenUsed/>
    <w:rsid w:val="00201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F6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Nhat Nam 20166484</dc:creator>
  <cp:lastModifiedBy>HuyenLT5</cp:lastModifiedBy>
  <cp:revision>11</cp:revision>
  <cp:lastPrinted>2021-10-13T15:30:00Z</cp:lastPrinted>
  <dcterms:created xsi:type="dcterms:W3CDTF">2021-11-10T08:57:00Z</dcterms:created>
  <dcterms:modified xsi:type="dcterms:W3CDTF">2021-11-22T05:27:00Z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